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00" w:lineRule="exact"/>
        <w:jc w:val="center"/>
        <w:rPr>
          <w:rFonts w:ascii="黑体" w:hAnsi="黑体" w:eastAsia="黑体"/>
          <w:b w:val="0"/>
          <w:sz w:val="18"/>
          <w:szCs w:val="18"/>
        </w:rPr>
      </w:pPr>
      <w:bookmarkStart w:id="0" w:name="_Toc35782742"/>
      <w:r>
        <w:rPr>
          <w:rFonts w:hint="eastAsia" w:ascii="黑体" w:hAnsi="黑体" w:eastAsia="黑体"/>
          <w:b w:val="0"/>
          <w:sz w:val="32"/>
          <w:szCs w:val="32"/>
        </w:rPr>
        <w:t>高分子材料与工程专业本科人才培养方案</w:t>
      </w:r>
      <w:bookmarkEnd w:id="0"/>
    </w:p>
    <w:p>
      <w:pPr>
        <w:spacing w:line="400" w:lineRule="exact"/>
        <w:jc w:val="center"/>
        <w:rPr>
          <w:rFonts w:ascii="宋体" w:hAnsi="宋体"/>
          <w:sz w:val="24"/>
          <w:u w:val="single"/>
        </w:rPr>
      </w:pPr>
      <w:r>
        <w:rPr>
          <w:rFonts w:hint="eastAsia" w:ascii="宋体" w:hAnsi="宋体"/>
          <w:sz w:val="24"/>
        </w:rPr>
        <w:t>学科门类：</w:t>
      </w:r>
      <w:r>
        <w:rPr>
          <w:rFonts w:hint="eastAsia" w:cs="宋体"/>
          <w:sz w:val="24"/>
        </w:rPr>
        <w:t>工学</w:t>
      </w:r>
      <w:r>
        <w:rPr>
          <w:rFonts w:hint="eastAsia" w:ascii="宋体" w:hAnsi="宋体"/>
          <w:sz w:val="24"/>
        </w:rPr>
        <w:t xml:space="preserve">      专业代码：080407</w:t>
      </w:r>
    </w:p>
    <w:p>
      <w:pPr>
        <w:adjustRightInd w:val="0"/>
        <w:snapToGrid w:val="0"/>
        <w:spacing w:before="156" w:beforeLines="50" w:line="324" w:lineRule="auto"/>
        <w:ind w:firstLine="482" w:firstLineChars="200"/>
        <w:rPr>
          <w:b/>
          <w:bCs/>
          <w:sz w:val="24"/>
        </w:rPr>
      </w:pPr>
      <w:r>
        <w:rPr>
          <w:rFonts w:hint="eastAsia"/>
          <w:b/>
          <w:bCs/>
          <w:sz w:val="24"/>
        </w:rPr>
        <w:t xml:space="preserve">一、专业介绍 </w:t>
      </w:r>
    </w:p>
    <w:p>
      <w:pPr>
        <w:widowControl/>
        <w:spacing w:line="400" w:lineRule="exact"/>
        <w:ind w:firstLine="420" w:firstLineChars="200"/>
        <w:jc w:val="left"/>
        <w:rPr>
          <w:rFonts w:ascii="宋体" w:hAnsi="宋体"/>
          <w:bCs/>
          <w:szCs w:val="21"/>
        </w:rPr>
      </w:pPr>
      <w:r>
        <w:rPr>
          <w:rFonts w:hint="eastAsia" w:ascii="宋体" w:hAnsi="宋体"/>
          <w:bCs/>
          <w:szCs w:val="21"/>
        </w:rPr>
        <w:t>高分子材料与工程专业是在应用化学、化学工程与工艺专业的办学基础上发展起来的。2011年专业获省教育厅批准、教育部备案，2015年通过省教育厅本科专业学士学位授权评审，是特色鲜明的苏北地区有一定影响的品牌专业。专业秉承地方性、应用型办学主线，践行“大应用观、大工程观、大生活观、大文化观”办学理念，培养厚基础、善实践、能创新、高素质”的应用型人才。高分子材料与工程专业的师资结构合理，拥有完善的高分子材料专业实验室，现有实验室面积7500平方米，具备高分子材料合成和成型加工的各种仪器设备，以及先进的分析检测条件，总价值1300余万元。本专业在特种工程塑料、光电功能高分子材料、纳米复合材料及生物基高分子材料等领域形成自己的特色和优势，与高分子材料产业相关十余家家企业共建人才培养基地，建立了一套较为完善、行之有效的工程型人才培养与考核、评价体系，形成了鲜明的工程教育优势与专业特色。</w:t>
      </w:r>
    </w:p>
    <w:p>
      <w:pPr>
        <w:adjustRightInd w:val="0"/>
        <w:snapToGrid w:val="0"/>
        <w:spacing w:before="156" w:beforeLines="50" w:line="324" w:lineRule="auto"/>
        <w:ind w:firstLine="482" w:firstLineChars="200"/>
        <w:rPr>
          <w:b/>
          <w:bCs/>
          <w:sz w:val="24"/>
        </w:rPr>
      </w:pPr>
      <w:r>
        <w:rPr>
          <w:rFonts w:hint="eastAsia"/>
          <w:b/>
          <w:bCs/>
          <w:sz w:val="24"/>
        </w:rPr>
        <w:t xml:space="preserve">二、培养目标 </w:t>
      </w:r>
    </w:p>
    <w:p>
      <w:pPr>
        <w:widowControl/>
        <w:spacing w:line="400" w:lineRule="exact"/>
        <w:ind w:firstLine="420" w:firstLineChars="200"/>
        <w:jc w:val="left"/>
      </w:pPr>
      <w:r>
        <w:rPr>
          <w:rFonts w:hint="eastAsia"/>
        </w:rPr>
        <w:t>本专业立足苏北，面向淮海经济区，培养具有良好的科学素养和团队协作精神、较强的创新和实践能力、德智体美劳全面发展，具备高分子材料与工程专业基础知识、基本理论、基本方法与技能，能在高分子材料的合成改性、加工成型及应用等领域从事一线生产、技术开发、产品设计及营销管理等方面工作的应用型工程技术人才。</w:t>
      </w:r>
    </w:p>
    <w:p>
      <w:pPr>
        <w:widowControl/>
        <w:spacing w:line="400" w:lineRule="exact"/>
        <w:ind w:firstLine="420" w:firstLineChars="200"/>
        <w:jc w:val="left"/>
      </w:pPr>
      <w:r>
        <w:rPr>
          <w:rFonts w:hint="eastAsia"/>
        </w:rPr>
        <w:t>学生毕业五年左右，经过自身学习和工作锻炼，能够达到下列职业和专业成就：</w:t>
      </w:r>
    </w:p>
    <w:p>
      <w:pPr>
        <w:widowControl/>
        <w:spacing w:line="400" w:lineRule="exact"/>
        <w:ind w:firstLine="420" w:firstLineChars="200"/>
        <w:jc w:val="left"/>
      </w:pPr>
      <w:r>
        <w:rPr>
          <w:rFonts w:hint="eastAsia"/>
        </w:rPr>
        <w:t>1、能够综合运用数学、自然科学、工程基础和专业知识，具备独立发现、研究与解决实际复杂工程问题的能力。</w:t>
      </w:r>
    </w:p>
    <w:p>
      <w:pPr>
        <w:widowControl/>
        <w:spacing w:line="400" w:lineRule="exact"/>
        <w:ind w:firstLine="420" w:firstLineChars="200"/>
        <w:jc w:val="left"/>
      </w:pPr>
      <w:r>
        <w:rPr>
          <w:rFonts w:hint="eastAsia"/>
        </w:rPr>
        <w:t>2、具有从事高分子材料与工程的设计、开发、应用和集成等方面工作能力，并能够综合考虑经济、环境、法律、安全、健康、伦理等方面的影响因素。</w:t>
      </w:r>
    </w:p>
    <w:p>
      <w:pPr>
        <w:widowControl/>
        <w:spacing w:line="400" w:lineRule="exact"/>
        <w:ind w:firstLine="420" w:firstLineChars="200"/>
        <w:jc w:val="left"/>
      </w:pPr>
      <w:r>
        <w:rPr>
          <w:rFonts w:hint="eastAsia"/>
        </w:rPr>
        <w:t>3、具备良好的社会科学知识和企业经营管理能力，在跨职能团队工作中担任骨干或领导角色，发挥有效作用。</w:t>
      </w:r>
    </w:p>
    <w:p>
      <w:pPr>
        <w:widowControl/>
        <w:spacing w:line="400" w:lineRule="exact"/>
        <w:ind w:firstLine="420" w:firstLineChars="200"/>
        <w:jc w:val="left"/>
      </w:pPr>
      <w:r>
        <w:rPr>
          <w:rFonts w:hint="eastAsia"/>
        </w:rPr>
        <w:t>4、具有良好的人文素养、职业道德与国际视野，在工作中具有社会责任感、事业心、安全与环保意识，能积极服务国家与社会。</w:t>
      </w:r>
    </w:p>
    <w:p>
      <w:pPr>
        <w:widowControl/>
        <w:spacing w:line="400" w:lineRule="exact"/>
        <w:ind w:firstLine="420" w:firstLineChars="200"/>
        <w:jc w:val="left"/>
      </w:pPr>
      <w:r>
        <w:rPr>
          <w:rFonts w:hint="eastAsia"/>
        </w:rPr>
        <w:t>5、能够通过继续教育或其他终身学习渠道，自我更新知识和提升能力，进一步增强创新意识和开拓精神。</w:t>
      </w:r>
    </w:p>
    <w:p>
      <w:pPr>
        <w:adjustRightInd w:val="0"/>
        <w:snapToGrid w:val="0"/>
        <w:spacing w:before="156" w:beforeLines="50" w:line="324" w:lineRule="auto"/>
        <w:ind w:firstLine="482" w:firstLineChars="200"/>
        <w:rPr>
          <w:b/>
          <w:bCs/>
          <w:sz w:val="24"/>
        </w:rPr>
      </w:pPr>
      <w:r>
        <w:rPr>
          <w:rFonts w:hint="eastAsia"/>
          <w:b/>
          <w:bCs/>
          <w:sz w:val="24"/>
        </w:rPr>
        <w:t>三、毕业要求</w:t>
      </w:r>
    </w:p>
    <w:p>
      <w:pPr>
        <w:widowControl/>
        <w:spacing w:line="400" w:lineRule="exact"/>
        <w:ind w:firstLine="422" w:firstLineChars="200"/>
        <w:jc w:val="left"/>
        <w:rPr>
          <w:b/>
        </w:rPr>
      </w:pPr>
      <w:r>
        <w:rPr>
          <w:rFonts w:hint="eastAsia"/>
          <w:b/>
        </w:rPr>
        <w:t>1．工程知识：能够将数学、自然科学、工程基础和专业知识用于解决复杂工程问题。</w:t>
      </w:r>
    </w:p>
    <w:p>
      <w:pPr>
        <w:widowControl/>
        <w:spacing w:line="400" w:lineRule="exact"/>
        <w:ind w:firstLine="420" w:firstLineChars="200"/>
        <w:jc w:val="left"/>
      </w:pPr>
      <w:r>
        <w:rPr>
          <w:rFonts w:hint="eastAsia"/>
        </w:rPr>
        <w:t>1.1能运用相关数学知识对对复杂工程问题进行适当的数学表述与统计分析；能利用力学、热学、光学、电磁学等物理知识分析复杂高分子工程问题；</w:t>
      </w:r>
    </w:p>
    <w:p>
      <w:pPr>
        <w:widowControl/>
        <w:spacing w:line="400" w:lineRule="exact"/>
        <w:ind w:firstLine="420" w:firstLineChars="200"/>
        <w:jc w:val="left"/>
      </w:pPr>
      <w:r>
        <w:rPr>
          <w:rFonts w:hint="eastAsia"/>
        </w:rPr>
        <w:t>1.2具有较深厚的基础化学与化工知识，并能运用于解释高分子材料研究开发的原理和技术问题；</w:t>
      </w:r>
    </w:p>
    <w:p>
      <w:pPr>
        <w:widowControl/>
        <w:spacing w:line="400" w:lineRule="exact"/>
        <w:ind w:firstLine="420" w:firstLineChars="200"/>
        <w:jc w:val="left"/>
      </w:pPr>
      <w:r>
        <w:rPr>
          <w:rFonts w:hint="eastAsia"/>
        </w:rPr>
        <w:t>1.3能将机械基础、电子、力学、材料等方面知识用于解决高分子材料领域的工程基础问题；</w:t>
      </w:r>
    </w:p>
    <w:p>
      <w:pPr>
        <w:widowControl/>
        <w:spacing w:line="400" w:lineRule="exact"/>
        <w:ind w:firstLine="420" w:firstLineChars="200"/>
        <w:jc w:val="left"/>
      </w:pPr>
      <w:r>
        <w:rPr>
          <w:rFonts w:hint="eastAsia"/>
        </w:rPr>
        <w:t>1.4能运用高聚物合成及加工的原理、工艺、设备等方面专业知识，并综合性地运用来解决高分子材料中的复杂工程问题。</w:t>
      </w:r>
    </w:p>
    <w:p>
      <w:pPr>
        <w:widowControl/>
        <w:spacing w:line="400" w:lineRule="exact"/>
        <w:ind w:firstLine="422" w:firstLineChars="200"/>
        <w:jc w:val="left"/>
        <w:rPr>
          <w:b/>
        </w:rPr>
      </w:pPr>
      <w:r>
        <w:rPr>
          <w:rFonts w:hint="eastAsia"/>
          <w:b/>
        </w:rPr>
        <w:t>2．问题分析：能够应用数学、自然科学和工程科学的基本原理，识别、表达并通过文献研究分析复杂工程问题，以获得有效结论。</w:t>
      </w:r>
    </w:p>
    <w:p>
      <w:pPr>
        <w:widowControl/>
        <w:spacing w:line="400" w:lineRule="exact"/>
        <w:ind w:firstLine="420" w:firstLineChars="200"/>
        <w:jc w:val="left"/>
      </w:pPr>
      <w:r>
        <w:rPr>
          <w:rFonts w:hint="eastAsia"/>
        </w:rPr>
        <w:t>2.1能够应用数学、基础化学及化工基础的基本原理表达、分析高分子材料化学化工领域科学问题；</w:t>
      </w:r>
    </w:p>
    <w:p>
      <w:pPr>
        <w:widowControl/>
        <w:spacing w:line="400" w:lineRule="exact"/>
        <w:ind w:firstLine="420" w:firstLineChars="200"/>
        <w:jc w:val="left"/>
      </w:pPr>
      <w:r>
        <w:rPr>
          <w:rFonts w:hint="eastAsia"/>
        </w:rPr>
        <w:t>2.2能够运用高分子化学与物理、聚合物合成及成型工艺等知识识别、分析高分子材料制备与加工中的复杂工程问题；</w:t>
      </w:r>
    </w:p>
    <w:p>
      <w:pPr>
        <w:widowControl/>
        <w:spacing w:line="400" w:lineRule="exact"/>
        <w:ind w:firstLine="420" w:firstLineChars="200"/>
        <w:jc w:val="left"/>
      </w:pPr>
      <w:r>
        <w:rPr>
          <w:rFonts w:hint="eastAsia"/>
        </w:rPr>
        <w:t>2.3能认识到解决工程问题有多种方案可选择，能够对材料结构性能表征结果进行识别与分析。并应用于高分子材料产品的配方设计；</w:t>
      </w:r>
    </w:p>
    <w:p>
      <w:pPr>
        <w:widowControl/>
        <w:spacing w:line="400" w:lineRule="exact"/>
        <w:ind w:firstLine="420" w:firstLineChars="200"/>
        <w:jc w:val="left"/>
      </w:pPr>
      <w:r>
        <w:rPr>
          <w:rFonts w:hint="eastAsia"/>
        </w:rPr>
        <w:t>2.4能够检索收集国内外文献数据，并对结果进行综合分析，并通过归纳获得有效结论。</w:t>
      </w:r>
    </w:p>
    <w:p>
      <w:pPr>
        <w:widowControl/>
        <w:spacing w:line="400" w:lineRule="exact"/>
        <w:ind w:firstLine="422" w:firstLineChars="200"/>
        <w:jc w:val="left"/>
        <w:rPr>
          <w:b/>
        </w:rPr>
      </w:pPr>
      <w:r>
        <w:rPr>
          <w:rFonts w:hint="eastAsia"/>
          <w:b/>
        </w:rPr>
        <w:t>3．设计/开发解决方案：能够设计针对复杂工程问题的解决方案，设计满足特定需求的系统、单元（部件）或工艺流程，并能够在设计环节中体现创新意识，考虑社会、健康、安全、法律、文化以及环境等因素。</w:t>
      </w:r>
    </w:p>
    <w:p>
      <w:pPr>
        <w:widowControl/>
        <w:spacing w:line="400" w:lineRule="exact"/>
        <w:ind w:firstLine="420" w:firstLineChars="200"/>
        <w:jc w:val="left"/>
      </w:pPr>
      <w:r>
        <w:rPr>
          <w:rFonts w:hint="eastAsia"/>
        </w:rPr>
        <w:t>3.1掌握高分子材料新产品研究开发的基本流程，能够根据用户需求针对高分子材料合成与改性提出合理的配方和工艺设计解决方案；</w:t>
      </w:r>
    </w:p>
    <w:p>
      <w:pPr>
        <w:widowControl/>
        <w:spacing w:line="400" w:lineRule="exact"/>
        <w:ind w:firstLine="420" w:firstLineChars="200"/>
        <w:jc w:val="left"/>
      </w:pPr>
      <w:r>
        <w:rPr>
          <w:rFonts w:hint="eastAsia"/>
        </w:rPr>
        <w:t>3.2 熟悉高分子材料成型加工的工艺及设备，能够针对高分子材料加工中工艺流程、加工设备、产品配方设计提出解决方案；</w:t>
      </w:r>
    </w:p>
    <w:p>
      <w:pPr>
        <w:widowControl/>
        <w:spacing w:line="400" w:lineRule="exact"/>
        <w:ind w:firstLine="420" w:firstLineChars="200"/>
        <w:jc w:val="left"/>
      </w:pPr>
      <w:r>
        <w:rPr>
          <w:rFonts w:hint="eastAsia"/>
        </w:rPr>
        <w:t>3.3 能够对工艺流程设计方案进行优选，体现创新意识，并考虑高分子材料生产与应用对社会、健康、安全、法律、文化、环境等的影响。</w:t>
      </w:r>
    </w:p>
    <w:p>
      <w:pPr>
        <w:widowControl/>
        <w:spacing w:line="400" w:lineRule="exact"/>
        <w:ind w:firstLine="422" w:firstLineChars="200"/>
        <w:jc w:val="left"/>
        <w:rPr>
          <w:b/>
        </w:rPr>
      </w:pPr>
      <w:r>
        <w:rPr>
          <w:rFonts w:hint="eastAsia"/>
          <w:b/>
        </w:rPr>
        <w:t>4．研究：能够基于科学原理并采用科学方法对复杂问题进行研究，包括设计实验、分析与解释数据，并通过信息综合得到合理有效的结论。</w:t>
      </w:r>
    </w:p>
    <w:p>
      <w:pPr>
        <w:widowControl/>
        <w:spacing w:line="400" w:lineRule="exact"/>
        <w:ind w:firstLine="420" w:firstLineChars="200"/>
        <w:jc w:val="left"/>
      </w:pPr>
      <w:r>
        <w:rPr>
          <w:rFonts w:hint="eastAsia"/>
        </w:rPr>
        <w:t>4.1 能够基于高分子材料与工程专业实验的基本原理和方法，具有设计实验方案的能力和较强实践动手能力；</w:t>
      </w:r>
    </w:p>
    <w:p>
      <w:pPr>
        <w:widowControl/>
        <w:spacing w:line="400" w:lineRule="exact"/>
        <w:ind w:firstLine="420" w:firstLineChars="200"/>
        <w:jc w:val="left"/>
      </w:pPr>
      <w:r>
        <w:rPr>
          <w:rFonts w:hint="eastAsia"/>
        </w:rPr>
        <w:t>4.2能正确采集和整理实验数据，具备对实验数据进行分析和处理的能力，并能对实验结果进行解释和关联；</w:t>
      </w:r>
    </w:p>
    <w:p>
      <w:pPr>
        <w:widowControl/>
        <w:spacing w:line="400" w:lineRule="exact"/>
        <w:ind w:firstLine="420" w:firstLineChars="200"/>
        <w:jc w:val="left"/>
      </w:pPr>
      <w:r>
        <w:rPr>
          <w:rFonts w:hint="eastAsia"/>
        </w:rPr>
        <w:t>4.3能够根据实验方案构建实验系统，安全地开展实验，正确地采集实验数据；</w:t>
      </w:r>
    </w:p>
    <w:p>
      <w:pPr>
        <w:widowControl/>
        <w:spacing w:line="400" w:lineRule="exact"/>
        <w:ind w:firstLine="420" w:firstLineChars="200"/>
        <w:jc w:val="left"/>
      </w:pPr>
      <w:r>
        <w:rPr>
          <w:rFonts w:hint="eastAsia"/>
        </w:rPr>
        <w:t>4.4能够正确选择与使用现代材料检测技术和仪器对高分子材料常规结构与性能进行检测与分析，能对信息进行综合分析和解释，获取合理有效的结论。</w:t>
      </w:r>
    </w:p>
    <w:p>
      <w:pPr>
        <w:widowControl/>
        <w:spacing w:line="400" w:lineRule="exact"/>
        <w:ind w:firstLine="422" w:firstLineChars="200"/>
        <w:jc w:val="left"/>
        <w:rPr>
          <w:b/>
        </w:rPr>
      </w:pPr>
      <w:r>
        <w:rPr>
          <w:rFonts w:hint="eastAsia"/>
          <w:b/>
        </w:rPr>
        <w:t xml:space="preserve">5．使用现代工具：能够针对复杂工程问题，开发、 选择与使用恰当的技术、资源、现代工程工具和信息技术工具，包括对复杂化工工程问题的预测与模拟，并能够理解其局限性。 </w:t>
      </w:r>
    </w:p>
    <w:p>
      <w:pPr>
        <w:widowControl/>
        <w:spacing w:line="400" w:lineRule="exact"/>
        <w:ind w:firstLine="420" w:firstLineChars="200"/>
        <w:jc w:val="left"/>
      </w:pPr>
      <w:r>
        <w:rPr>
          <w:rFonts w:hint="eastAsia"/>
        </w:rPr>
        <w:t>5.1 具备一定工程制图能力，能够运用网络文献检索基本方法和相关语言工具了解高分子材料领域的国内外发展现状；</w:t>
      </w:r>
    </w:p>
    <w:p>
      <w:pPr>
        <w:widowControl/>
        <w:spacing w:line="400" w:lineRule="exact"/>
        <w:ind w:firstLine="420" w:firstLineChars="200"/>
        <w:jc w:val="left"/>
      </w:pPr>
      <w:r>
        <w:rPr>
          <w:rFonts w:hint="eastAsia"/>
        </w:rPr>
        <w:t>5.2能够运用工程工具和专业模拟软件， 对复杂高分子材料工程问题进行分析、计算与设计；</w:t>
      </w:r>
    </w:p>
    <w:p>
      <w:pPr>
        <w:widowControl/>
        <w:spacing w:line="400" w:lineRule="exact"/>
        <w:ind w:firstLine="420" w:firstLineChars="200"/>
        <w:jc w:val="left"/>
      </w:pPr>
      <w:r>
        <w:rPr>
          <w:rFonts w:hint="eastAsia"/>
        </w:rPr>
        <w:t>5.3能够熟练使用操作计算机，能够使用编程语言开发新工具进行模拟和预测，并能够分析其局限性。</w:t>
      </w:r>
    </w:p>
    <w:p>
      <w:pPr>
        <w:widowControl/>
        <w:spacing w:line="400" w:lineRule="exact"/>
        <w:ind w:firstLine="422" w:firstLineChars="200"/>
        <w:jc w:val="left"/>
        <w:rPr>
          <w:b/>
        </w:rPr>
      </w:pPr>
      <w:r>
        <w:rPr>
          <w:rFonts w:hint="eastAsia"/>
          <w:b/>
        </w:rPr>
        <w:t>6．工程与社会：能够基于工程相关背景知识进行合理分析，评价专业工程实践和复杂工程问题解决方案对社会、健康、安全、法律以及文化的影响，并理解应承担的责任。</w:t>
      </w:r>
    </w:p>
    <w:p>
      <w:pPr>
        <w:widowControl/>
        <w:spacing w:line="400" w:lineRule="exact"/>
        <w:ind w:firstLine="420" w:firstLineChars="200"/>
        <w:jc w:val="left"/>
      </w:pPr>
      <w:r>
        <w:rPr>
          <w:rFonts w:hint="eastAsia"/>
        </w:rPr>
        <w:t>6.1掌握高分子材料领域的相关工程伦理、法律方面的知识，了解高分子材料行业对社会、健康、安全、法律及文化的影响；</w:t>
      </w:r>
    </w:p>
    <w:p>
      <w:pPr>
        <w:widowControl/>
        <w:spacing w:line="400" w:lineRule="exact"/>
        <w:ind w:firstLine="420" w:firstLineChars="200"/>
        <w:jc w:val="left"/>
      </w:pPr>
      <w:r>
        <w:rPr>
          <w:rFonts w:hint="eastAsia"/>
        </w:rPr>
        <w:t>6.2能够评价工程实践和复杂工程问题解决方案对社会、健康、安全、法律及文化的影响，并理解应承担的责任。</w:t>
      </w:r>
    </w:p>
    <w:p>
      <w:pPr>
        <w:widowControl/>
        <w:spacing w:line="400" w:lineRule="exact"/>
        <w:ind w:firstLine="422" w:firstLineChars="200"/>
        <w:jc w:val="left"/>
        <w:rPr>
          <w:b/>
        </w:rPr>
      </w:pPr>
      <w:r>
        <w:rPr>
          <w:rFonts w:hint="eastAsia"/>
          <w:b/>
        </w:rPr>
        <w:t xml:space="preserve">7．环境和可持续发展：能够理解和评价针对复杂工程问题的工程实践对环境、社会可持续发展的影响。 </w:t>
      </w:r>
    </w:p>
    <w:p>
      <w:pPr>
        <w:widowControl/>
        <w:spacing w:line="400" w:lineRule="exact"/>
        <w:ind w:firstLine="420" w:firstLineChars="200"/>
        <w:jc w:val="left"/>
      </w:pPr>
      <w:r>
        <w:rPr>
          <w:rFonts w:hint="eastAsia"/>
        </w:rPr>
        <w:t>7.1理解环境保护和社会可持续发展的内涵和意义，熟悉高分子材料工程对生态环境、社会可持续发展的影响；</w:t>
      </w:r>
    </w:p>
    <w:p>
      <w:pPr>
        <w:widowControl/>
        <w:spacing w:line="400" w:lineRule="exact"/>
        <w:ind w:firstLine="420" w:firstLineChars="200"/>
        <w:jc w:val="left"/>
      </w:pPr>
      <w:r>
        <w:rPr>
          <w:rFonts w:hint="eastAsia"/>
        </w:rPr>
        <w:t>7.2 树立绿色设计、生产、加工的理念，能正确评价复杂高分子材料工程对环境和社会可持续发展的影响。</w:t>
      </w:r>
    </w:p>
    <w:p>
      <w:pPr>
        <w:widowControl/>
        <w:spacing w:line="400" w:lineRule="exact"/>
        <w:ind w:firstLine="422" w:firstLineChars="200"/>
        <w:jc w:val="left"/>
        <w:rPr>
          <w:b/>
        </w:rPr>
      </w:pPr>
      <w:r>
        <w:rPr>
          <w:rFonts w:hint="eastAsia"/>
          <w:b/>
        </w:rPr>
        <w:t>8．职业规范：具有人文社会科学素养、社会责任感，能够在工程实践中理解并遵守工程职业道德和规范， 履行责任。</w:t>
      </w:r>
    </w:p>
    <w:p>
      <w:pPr>
        <w:widowControl/>
        <w:spacing w:line="400" w:lineRule="exact"/>
        <w:ind w:firstLine="420" w:firstLineChars="200"/>
        <w:jc w:val="left"/>
      </w:pPr>
      <w:r>
        <w:rPr>
          <w:rFonts w:hint="eastAsia"/>
        </w:rPr>
        <w:t>8.1具有正确的世界观和人生观，认识中国可持续发展的科学发展道路及个人的社会责任；</w:t>
      </w:r>
    </w:p>
    <w:p>
      <w:pPr>
        <w:widowControl/>
        <w:spacing w:line="400" w:lineRule="exact"/>
        <w:ind w:firstLine="420" w:firstLineChars="200"/>
        <w:jc w:val="left"/>
      </w:pPr>
      <w:r>
        <w:rPr>
          <w:rFonts w:hint="eastAsia"/>
        </w:rPr>
        <w:t>8.2具有人文社会科学素养、具有健全的体魄，具有一定的欣赏美和创造美的能力；</w:t>
      </w:r>
    </w:p>
    <w:p>
      <w:pPr>
        <w:widowControl/>
        <w:spacing w:line="400" w:lineRule="exact"/>
        <w:ind w:firstLine="420" w:firstLineChars="200"/>
        <w:jc w:val="left"/>
      </w:pPr>
      <w:r>
        <w:rPr>
          <w:rFonts w:hint="eastAsia"/>
        </w:rPr>
        <w:t>8.3理解诚实公正、诚信守则的工程职业道德和规范，理解工程师对公众的安全、健康和福祉，以及环境保护的社会责任，能够在工程实践中自觉履行责任。</w:t>
      </w:r>
    </w:p>
    <w:p>
      <w:pPr>
        <w:widowControl/>
        <w:spacing w:line="400" w:lineRule="exact"/>
        <w:ind w:firstLine="422" w:firstLineChars="200"/>
        <w:jc w:val="left"/>
        <w:rPr>
          <w:b/>
        </w:rPr>
      </w:pPr>
      <w:r>
        <w:rPr>
          <w:rFonts w:hint="eastAsia"/>
          <w:b/>
        </w:rPr>
        <w:t xml:space="preserve">9．个人和团队：能够在多学科背景下的团队中承担个体、团队成员以及负责人角色。 </w:t>
      </w:r>
    </w:p>
    <w:p>
      <w:pPr>
        <w:widowControl/>
        <w:spacing w:line="400" w:lineRule="exact"/>
        <w:ind w:firstLine="420" w:firstLineChars="200"/>
        <w:jc w:val="left"/>
      </w:pPr>
      <w:r>
        <w:rPr>
          <w:rFonts w:hint="eastAsia"/>
        </w:rPr>
        <w:t xml:space="preserve">9.1 具有在多学科背景下自我约束、团队合作和人际交往能力； </w:t>
      </w:r>
    </w:p>
    <w:p>
      <w:pPr>
        <w:widowControl/>
        <w:spacing w:line="400" w:lineRule="exact"/>
        <w:ind w:firstLine="420" w:firstLineChars="200"/>
        <w:jc w:val="left"/>
      </w:pPr>
      <w:r>
        <w:rPr>
          <w:rFonts w:hint="eastAsia"/>
        </w:rPr>
        <w:t>9.2能够适应团队成员以及负责人的角色，积极合作开展工作。</w:t>
      </w:r>
    </w:p>
    <w:p>
      <w:pPr>
        <w:widowControl/>
        <w:spacing w:line="400" w:lineRule="exact"/>
        <w:ind w:firstLine="422" w:firstLineChars="200"/>
        <w:jc w:val="left"/>
        <w:rPr>
          <w:b/>
        </w:rPr>
      </w:pPr>
      <w:r>
        <w:rPr>
          <w:rFonts w:hint="eastAsia"/>
          <w:b/>
        </w:rPr>
        <w:t xml:space="preserve">10．沟通：能够就复杂工程问题与业界同行及社会公众进有效沟通和交流，包括撰写报告和设计文稿、陈述发言、清晰表达或回应指令。并具备一定的国际视野，能够在跨文化背景下进行沟通和交流。 </w:t>
      </w:r>
    </w:p>
    <w:p>
      <w:pPr>
        <w:widowControl/>
        <w:spacing w:line="400" w:lineRule="exact"/>
        <w:ind w:firstLine="420" w:firstLineChars="200"/>
        <w:jc w:val="left"/>
      </w:pPr>
      <w:r>
        <w:rPr>
          <w:rFonts w:hint="eastAsia"/>
        </w:rPr>
        <w:t>10.1 能就专业问题，以口头、文稿、图表等方式，准确表达自己的观点，回应质疑，理解与业界同行和社会公众交流的差异性；</w:t>
      </w:r>
    </w:p>
    <w:p>
      <w:pPr>
        <w:widowControl/>
        <w:spacing w:line="400" w:lineRule="exact"/>
        <w:ind w:firstLine="420" w:firstLineChars="200"/>
        <w:jc w:val="left"/>
      </w:pPr>
      <w:r>
        <w:rPr>
          <w:rFonts w:hint="eastAsia"/>
        </w:rPr>
        <w:t>10.2了解专业领域的国际发展趋势、研究热点，理解和尊重世界不同文化的差异性和多样性；</w:t>
      </w:r>
    </w:p>
    <w:p>
      <w:pPr>
        <w:widowControl/>
        <w:spacing w:line="400" w:lineRule="exact"/>
        <w:ind w:firstLine="420" w:firstLineChars="200"/>
        <w:jc w:val="left"/>
      </w:pPr>
      <w:r>
        <w:rPr>
          <w:rFonts w:hint="eastAsia"/>
        </w:rPr>
        <w:t>10.3具备跨文化交流的语言和书面表达能力，能就专业问题，在跨文化背景下进行基本沟通和交流。</w:t>
      </w:r>
    </w:p>
    <w:p>
      <w:pPr>
        <w:widowControl/>
        <w:spacing w:line="400" w:lineRule="exact"/>
        <w:ind w:firstLine="422" w:firstLineChars="200"/>
        <w:jc w:val="left"/>
        <w:rPr>
          <w:b/>
        </w:rPr>
      </w:pPr>
      <w:r>
        <w:rPr>
          <w:rFonts w:hint="eastAsia"/>
          <w:b/>
        </w:rPr>
        <w:t>11．项目管理：理解并掌握工程管理原理与经济决策方法，并能在多学科环境中应用。</w:t>
      </w:r>
    </w:p>
    <w:p>
      <w:pPr>
        <w:widowControl/>
        <w:spacing w:line="400" w:lineRule="exact"/>
        <w:ind w:firstLine="420" w:firstLineChars="200"/>
        <w:jc w:val="left"/>
      </w:pPr>
      <w:r>
        <w:rPr>
          <w:rFonts w:hint="eastAsia"/>
        </w:rPr>
        <w:t>11.1掌握高分子材料工程领域的工程管理基本原理、经济分析与决策方法；</w:t>
      </w:r>
    </w:p>
    <w:p>
      <w:pPr>
        <w:widowControl/>
        <w:spacing w:line="400" w:lineRule="exact"/>
        <w:ind w:firstLine="420" w:firstLineChars="200"/>
        <w:jc w:val="left"/>
      </w:pPr>
      <w:r>
        <w:rPr>
          <w:rFonts w:hint="eastAsia"/>
        </w:rPr>
        <w:t>11.2了解工程及产品全周期、全流程的成本构成，能在多学科环境下，在设计开发解决方案的过程中，运用工程管理与经济决策方法。</w:t>
      </w:r>
    </w:p>
    <w:p>
      <w:pPr>
        <w:widowControl/>
        <w:spacing w:line="400" w:lineRule="exact"/>
        <w:ind w:firstLine="422" w:firstLineChars="200"/>
        <w:jc w:val="left"/>
        <w:rPr>
          <w:b/>
        </w:rPr>
      </w:pPr>
      <w:r>
        <w:rPr>
          <w:rFonts w:hint="eastAsia"/>
          <w:b/>
        </w:rPr>
        <w:t>12．终身学习：具有自主学习和终身学习的意识，有不断学习和适应发展的能力。</w:t>
      </w:r>
    </w:p>
    <w:p>
      <w:pPr>
        <w:widowControl/>
        <w:spacing w:line="400" w:lineRule="exact"/>
        <w:ind w:firstLine="420" w:firstLineChars="200"/>
        <w:jc w:val="left"/>
      </w:pPr>
      <w:r>
        <w:rPr>
          <w:rFonts w:hint="eastAsia"/>
        </w:rPr>
        <w:t>12.1能在社会发展的大背景下，认识到自主和终身学习的必要性，有良好的职业发展观；</w:t>
      </w:r>
    </w:p>
    <w:p>
      <w:pPr>
        <w:widowControl/>
        <w:spacing w:line="400" w:lineRule="exact"/>
        <w:ind w:firstLine="420" w:firstLineChars="200"/>
        <w:jc w:val="left"/>
      </w:pPr>
      <w:r>
        <w:rPr>
          <w:rFonts w:hint="eastAsia"/>
        </w:rPr>
        <w:t>12.2具有不断学习和适应发展的能力，包括对技术问题的理解能力，归纳总结的能力和提出问题的能力等。</w:t>
      </w:r>
    </w:p>
    <w:p>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spacing w:before="156" w:beforeLines="50"/>
        <w:jc w:val="center"/>
        <w:rPr>
          <w:rFonts w:ascii="宋体" w:hAnsi="宋体"/>
          <w:bCs/>
          <w:color w:val="000000"/>
          <w:kern w:val="0"/>
          <w:sz w:val="18"/>
          <w:szCs w:val="18"/>
        </w:rPr>
      </w:pPr>
      <w:r>
        <w:rPr>
          <w:rFonts w:ascii="宋体" w:hAnsi="宋体"/>
          <w:sz w:val="18"/>
          <w:szCs w:val="18"/>
        </w:rPr>
        <w:t xml:space="preserve">表1 </w:t>
      </w:r>
      <w:r>
        <w:rPr>
          <w:rFonts w:hint="eastAsia" w:ascii="宋体" w:hAnsi="宋体"/>
          <w:sz w:val="18"/>
          <w:szCs w:val="18"/>
        </w:rPr>
        <w:t>毕业要求</w:t>
      </w:r>
      <w:r>
        <w:rPr>
          <w:color w:val="000000"/>
          <w:sz w:val="18"/>
          <w:szCs w:val="18"/>
        </w:rPr>
        <w:t>对培养目标的支撑</w:t>
      </w:r>
      <w:r>
        <w:rPr>
          <w:rFonts w:hint="eastAsia"/>
          <w:color w:val="000000"/>
          <w:sz w:val="18"/>
          <w:szCs w:val="18"/>
        </w:rPr>
        <w:t>情况</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1238"/>
        <w:gridCol w:w="1238"/>
        <w:gridCol w:w="1238"/>
        <w:gridCol w:w="1238"/>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Merge w:val="restart"/>
            <w:vAlign w:val="center"/>
          </w:tcPr>
          <w:p>
            <w:pPr>
              <w:pStyle w:val="9"/>
              <w:rPr>
                <w:rFonts w:ascii="宋体" w:hAnsi="宋体" w:cs="宋体"/>
                <w:b/>
                <w:bCs w:val="0"/>
                <w:color w:val="000000"/>
                <w:szCs w:val="18"/>
              </w:rPr>
            </w:pPr>
            <w:r>
              <w:rPr>
                <w:rFonts w:hint="eastAsia" w:ascii="宋体" w:hAnsi="宋体" w:cs="宋体"/>
                <w:b/>
                <w:bCs w:val="0"/>
                <w:color w:val="000000"/>
                <w:szCs w:val="18"/>
              </w:rPr>
              <w:t>毕业要求</w:t>
            </w:r>
          </w:p>
        </w:tc>
        <w:tc>
          <w:tcPr>
            <w:tcW w:w="6190" w:type="dxa"/>
            <w:gridSpan w:val="5"/>
            <w:vAlign w:val="center"/>
          </w:tcPr>
          <w:p>
            <w:pPr>
              <w:pStyle w:val="7"/>
              <w:adjustRightInd w:val="0"/>
              <w:spacing w:after="0"/>
              <w:jc w:val="center"/>
              <w:rPr>
                <w:rFonts w:ascii="宋体" w:hAnsi="宋体" w:cs="宋体"/>
                <w:b/>
                <w:color w:val="000000"/>
                <w:sz w:val="18"/>
                <w:szCs w:val="18"/>
              </w:rPr>
            </w:pPr>
            <w:r>
              <w:rPr>
                <w:rFonts w:hint="eastAsia" w:ascii="宋体" w:hAnsi="宋体" w:cs="宋体"/>
                <w:b/>
                <w:color w:val="000000"/>
                <w:sz w:val="18"/>
                <w:szCs w:val="18"/>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Merge w:val="continue"/>
            <w:vAlign w:val="center"/>
          </w:tcPr>
          <w:p>
            <w:pPr>
              <w:pStyle w:val="9"/>
              <w:rPr>
                <w:rFonts w:ascii="宋体" w:hAnsi="宋体" w:cs="宋体"/>
                <w:color w:val="000000"/>
                <w:szCs w:val="18"/>
              </w:rPr>
            </w:pPr>
          </w:p>
        </w:tc>
        <w:tc>
          <w:tcPr>
            <w:tcW w:w="1238" w:type="dxa"/>
            <w:vAlign w:val="center"/>
          </w:tcPr>
          <w:p>
            <w:pPr>
              <w:pStyle w:val="9"/>
              <w:rPr>
                <w:rFonts w:ascii="宋体" w:hAnsi="宋体" w:cs="宋体"/>
                <w:b/>
                <w:color w:val="000000"/>
                <w:szCs w:val="18"/>
              </w:rPr>
            </w:pPr>
            <w:r>
              <w:rPr>
                <w:rFonts w:hint="eastAsia" w:ascii="宋体" w:hAnsi="宋体" w:cs="宋体"/>
                <w:b/>
                <w:color w:val="000000"/>
                <w:szCs w:val="18"/>
              </w:rPr>
              <w:t>培养目标1</w:t>
            </w:r>
          </w:p>
        </w:tc>
        <w:tc>
          <w:tcPr>
            <w:tcW w:w="1238" w:type="dxa"/>
            <w:vAlign w:val="center"/>
          </w:tcPr>
          <w:p>
            <w:pPr>
              <w:widowControl/>
              <w:autoSpaceDE w:val="0"/>
              <w:autoSpaceDN w:val="0"/>
              <w:adjustRightInd w:val="0"/>
              <w:jc w:val="center"/>
              <w:rPr>
                <w:rFonts w:ascii="宋体" w:hAnsi="宋体" w:cs="宋体"/>
                <w:bCs/>
                <w:color w:val="000000"/>
                <w:kern w:val="0"/>
                <w:sz w:val="18"/>
                <w:szCs w:val="18"/>
              </w:rPr>
            </w:pPr>
            <w:r>
              <w:rPr>
                <w:rFonts w:hint="eastAsia" w:ascii="宋体" w:hAnsi="宋体" w:cs="宋体"/>
                <w:b/>
                <w:color w:val="000000"/>
                <w:sz w:val="18"/>
                <w:szCs w:val="18"/>
              </w:rPr>
              <w:t>培养目标2</w:t>
            </w:r>
          </w:p>
        </w:tc>
        <w:tc>
          <w:tcPr>
            <w:tcW w:w="1238" w:type="dxa"/>
            <w:vAlign w:val="center"/>
          </w:tcPr>
          <w:p>
            <w:pPr>
              <w:pStyle w:val="9"/>
              <w:rPr>
                <w:rFonts w:ascii="宋体" w:hAnsi="宋体" w:cs="宋体"/>
                <w:color w:val="000000"/>
                <w:szCs w:val="18"/>
              </w:rPr>
            </w:pPr>
            <w:r>
              <w:rPr>
                <w:rFonts w:hint="eastAsia" w:ascii="宋体" w:hAnsi="宋体" w:cs="宋体"/>
                <w:b/>
                <w:color w:val="000000"/>
                <w:szCs w:val="18"/>
              </w:rPr>
              <w:t>培养目标3</w:t>
            </w:r>
          </w:p>
        </w:tc>
        <w:tc>
          <w:tcPr>
            <w:tcW w:w="1238" w:type="dxa"/>
            <w:vAlign w:val="center"/>
          </w:tcPr>
          <w:p>
            <w:pPr>
              <w:widowControl/>
              <w:autoSpaceDE w:val="0"/>
              <w:autoSpaceDN w:val="0"/>
              <w:adjustRightInd w:val="0"/>
              <w:jc w:val="center"/>
              <w:rPr>
                <w:rFonts w:ascii="宋体" w:hAnsi="宋体" w:cs="宋体"/>
                <w:b/>
                <w:color w:val="000000"/>
                <w:sz w:val="18"/>
                <w:szCs w:val="18"/>
              </w:rPr>
            </w:pPr>
            <w:r>
              <w:rPr>
                <w:rFonts w:hint="eastAsia" w:ascii="宋体" w:hAnsi="宋体" w:cs="宋体"/>
                <w:b/>
                <w:color w:val="000000"/>
                <w:sz w:val="18"/>
                <w:szCs w:val="18"/>
              </w:rPr>
              <w:t>培养目标4</w:t>
            </w:r>
          </w:p>
        </w:tc>
        <w:tc>
          <w:tcPr>
            <w:tcW w:w="1238" w:type="dxa"/>
            <w:vAlign w:val="center"/>
          </w:tcPr>
          <w:p>
            <w:pPr>
              <w:widowControl/>
              <w:autoSpaceDE w:val="0"/>
              <w:autoSpaceDN w:val="0"/>
              <w:adjustRightInd w:val="0"/>
              <w:jc w:val="center"/>
              <w:rPr>
                <w:rFonts w:ascii="宋体" w:hAnsi="宋体" w:cs="宋体"/>
                <w:bCs/>
                <w:color w:val="000000"/>
                <w:kern w:val="0"/>
                <w:sz w:val="18"/>
                <w:szCs w:val="18"/>
              </w:rPr>
            </w:pPr>
            <w:r>
              <w:rPr>
                <w:rFonts w:hint="eastAsia" w:ascii="宋体" w:hAnsi="宋体" w:cs="宋体"/>
                <w:b/>
                <w:color w:val="000000"/>
                <w:sz w:val="18"/>
                <w:szCs w:val="18"/>
              </w:rPr>
              <w:t>培养目标5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1．工程知识</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2．问题分析</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3．设计/开发解决方案</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4．研究</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5．使用现代工具</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6．工程与社会</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7．环境和可持续发展</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8．职业规范</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9．个人与团队</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10．沟通</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11．项目管理</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pStyle w:val="9"/>
              <w:jc w:val="both"/>
              <w:rPr>
                <w:rFonts w:ascii="宋体" w:hAnsi="宋体" w:cs="宋体"/>
                <w:color w:val="000000"/>
                <w:szCs w:val="18"/>
              </w:rPr>
            </w:pPr>
            <w:r>
              <w:rPr>
                <w:rFonts w:hint="eastAsia" w:ascii="宋体" w:hAnsi="宋体" w:cs="宋体"/>
                <w:color w:val="000000"/>
                <w:szCs w:val="18"/>
              </w:rPr>
              <w:t>12．终身学习</w:t>
            </w: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p>
        </w:tc>
        <w:tc>
          <w:tcPr>
            <w:tcW w:w="1238" w:type="dxa"/>
            <w:vAlign w:val="center"/>
          </w:tcPr>
          <w:p>
            <w:pPr>
              <w:adjustRightInd w:val="0"/>
              <w:jc w:val="center"/>
              <w:rPr>
                <w:rFonts w:ascii="宋体" w:hAnsi="宋体" w:cs="宋体"/>
                <w:color w:val="000000"/>
                <w:sz w:val="18"/>
                <w:szCs w:val="18"/>
              </w:rPr>
            </w:pPr>
            <w:r>
              <w:rPr>
                <w:rFonts w:hint="eastAsia" w:ascii="宋体" w:hAnsi="宋体" w:cs="宋体"/>
                <w:color w:val="000000"/>
                <w:sz w:val="18"/>
                <w:szCs w:val="18"/>
              </w:rPr>
              <w:t>√</w:t>
            </w:r>
          </w:p>
        </w:tc>
      </w:tr>
    </w:tbl>
    <w:p>
      <w:pPr>
        <w:widowControl/>
        <w:tabs>
          <w:tab w:val="left" w:pos="2645"/>
          <w:tab w:val="left" w:pos="2961"/>
          <w:tab w:val="left" w:pos="3376"/>
          <w:tab w:val="left" w:pos="3791"/>
          <w:tab w:val="left" w:pos="8403"/>
          <w:tab w:val="left" w:pos="8738"/>
          <w:tab w:val="left" w:pos="9023"/>
          <w:tab w:val="left" w:pos="9308"/>
          <w:tab w:val="left" w:pos="9593"/>
          <w:tab w:val="left" w:pos="9878"/>
          <w:tab w:val="left" w:pos="10121"/>
          <w:tab w:val="left" w:pos="10364"/>
          <w:tab w:val="left" w:pos="10600"/>
        </w:tabs>
        <w:ind w:firstLine="360" w:firstLineChars="200"/>
        <w:rPr>
          <w:bCs/>
          <w:color w:val="000000"/>
          <w:kern w:val="0"/>
          <w:sz w:val="18"/>
          <w:szCs w:val="18"/>
        </w:rPr>
      </w:pPr>
    </w:p>
    <w:p>
      <w:pPr>
        <w:adjustRightInd w:val="0"/>
        <w:snapToGrid w:val="0"/>
        <w:spacing w:before="156" w:beforeLines="50" w:line="324" w:lineRule="auto"/>
        <w:ind w:firstLine="482" w:firstLineChars="200"/>
        <w:rPr>
          <w:b/>
          <w:bCs/>
          <w:sz w:val="24"/>
        </w:rPr>
      </w:pPr>
      <w:r>
        <w:rPr>
          <w:rFonts w:hint="eastAsia"/>
          <w:b/>
          <w:bCs/>
          <w:sz w:val="24"/>
        </w:rPr>
        <w:t>四、学制</w:t>
      </w:r>
      <w:r>
        <w:rPr>
          <w:b/>
          <w:bCs/>
          <w:sz w:val="24"/>
        </w:rPr>
        <w:t>与</w:t>
      </w:r>
      <w:r>
        <w:rPr>
          <w:rFonts w:hint="eastAsia"/>
          <w:b/>
          <w:bCs/>
          <w:sz w:val="24"/>
        </w:rPr>
        <w:t>毕业条件</w:t>
      </w:r>
    </w:p>
    <w:p>
      <w:pPr>
        <w:widowControl/>
        <w:spacing w:line="400" w:lineRule="exact"/>
        <w:ind w:firstLine="422" w:firstLineChars="200"/>
        <w:jc w:val="left"/>
      </w:pPr>
      <w:r>
        <w:rPr>
          <w:rFonts w:hint="eastAsia"/>
          <w:b/>
          <w:bCs/>
        </w:rPr>
        <w:t>学制</w:t>
      </w:r>
      <w:r>
        <w:rPr>
          <w:rFonts w:hint="eastAsia"/>
        </w:rPr>
        <w:t>：标准学制4年，最长学习年限6年。</w:t>
      </w:r>
    </w:p>
    <w:p>
      <w:pPr>
        <w:widowControl/>
        <w:spacing w:line="400" w:lineRule="exact"/>
        <w:ind w:firstLine="422" w:firstLineChars="200"/>
        <w:jc w:val="left"/>
      </w:pPr>
      <w:r>
        <w:rPr>
          <w:rFonts w:hint="eastAsia"/>
          <w:b/>
          <w:bCs/>
        </w:rPr>
        <w:t>毕业条件</w:t>
      </w:r>
      <w:r>
        <w:rPr>
          <w:rFonts w:hint="eastAsia"/>
        </w:rPr>
        <w:t>：修满人才培养方案规定学分，获得至少4个学校认定的创新创业实践学分，体质健康测试合格。</w:t>
      </w:r>
    </w:p>
    <w:p>
      <w:pPr>
        <w:adjustRightInd w:val="0"/>
        <w:snapToGrid w:val="0"/>
        <w:spacing w:before="156" w:beforeLines="50" w:line="324" w:lineRule="auto"/>
        <w:ind w:firstLine="482" w:firstLineChars="200"/>
        <w:rPr>
          <w:b/>
          <w:bCs/>
          <w:sz w:val="24"/>
        </w:rPr>
      </w:pPr>
      <w:r>
        <w:rPr>
          <w:rFonts w:hint="eastAsia"/>
          <w:b/>
          <w:bCs/>
          <w:sz w:val="24"/>
        </w:rPr>
        <w:t>五</w:t>
      </w:r>
      <w:r>
        <w:rPr>
          <w:b/>
          <w:bCs/>
          <w:sz w:val="24"/>
        </w:rPr>
        <w:t>、学位及授予条件</w:t>
      </w:r>
    </w:p>
    <w:p>
      <w:pPr>
        <w:widowControl/>
        <w:spacing w:line="400" w:lineRule="exact"/>
        <w:ind w:firstLine="420" w:firstLineChars="200"/>
        <w:jc w:val="left"/>
      </w:pPr>
      <w:r>
        <w:rPr>
          <w:rFonts w:hint="eastAsia"/>
        </w:rPr>
        <w:t>符合《徐州工程学院学士学位授予工作实施细则》的相关规定，授予工学学士学位。</w:t>
      </w:r>
    </w:p>
    <w:p>
      <w:pPr>
        <w:adjustRightInd w:val="0"/>
        <w:snapToGrid w:val="0"/>
        <w:spacing w:before="156" w:beforeLines="50" w:line="324" w:lineRule="auto"/>
        <w:ind w:firstLine="482" w:firstLineChars="200"/>
        <w:rPr>
          <w:b/>
          <w:bCs/>
          <w:sz w:val="24"/>
        </w:rPr>
      </w:pPr>
      <w:r>
        <w:rPr>
          <w:rFonts w:hint="eastAsia"/>
          <w:b/>
          <w:bCs/>
          <w:sz w:val="24"/>
        </w:rPr>
        <w:t>六、专业核心课程</w:t>
      </w:r>
    </w:p>
    <w:p>
      <w:pPr>
        <w:spacing w:line="400" w:lineRule="exact"/>
        <w:ind w:firstLine="517" w:firstLineChars="245"/>
        <w:rPr>
          <w:rFonts w:ascii="宋体" w:hAnsi="宋体"/>
          <w:b/>
        </w:rPr>
      </w:pPr>
      <w:r>
        <w:rPr>
          <w:rFonts w:hint="eastAsia" w:ascii="宋体"/>
          <w:b/>
        </w:rPr>
        <w:t>1.</w:t>
      </w:r>
      <w:r>
        <w:rPr>
          <w:rFonts w:hint="eastAsia"/>
          <w:b/>
        </w:rPr>
        <w:t xml:space="preserve"> </w:t>
      </w:r>
      <w:r>
        <w:rPr>
          <w:rFonts w:hint="eastAsia" w:ascii="宋体"/>
          <w:b/>
        </w:rPr>
        <w:t xml:space="preserve">有机化学  </w:t>
      </w:r>
      <w:r>
        <w:rPr>
          <w:rFonts w:hint="eastAsia"/>
          <w:b/>
          <w:szCs w:val="21"/>
        </w:rPr>
        <w:t>5学分</w:t>
      </w:r>
    </w:p>
    <w:p>
      <w:pPr>
        <w:widowControl/>
        <w:spacing w:line="400" w:lineRule="exact"/>
        <w:ind w:firstLine="525" w:firstLineChars="250"/>
        <w:jc w:val="left"/>
        <w:rPr>
          <w:rFonts w:ascii="宋体" w:hAnsi="宋体"/>
          <w:szCs w:val="21"/>
        </w:rPr>
      </w:pPr>
      <w:r>
        <w:rPr>
          <w:rFonts w:hint="eastAsia" w:ascii="宋体" w:hAnsi="宋体"/>
        </w:rPr>
        <w:t>有机化学是研究有机化合物组成结构、性质、合成、应用以及有关理论的学科。帮助和 促进学生学习后续课程，掌握专业知识，汲取学科新成就有重要的作用。课程在强调基础的同时着重对学生能力培养，使学生具有分析和解决有机化学一般问题能力。学生应掌握主要 官能团的性质特征，并应用所学知识对普通有机化合物结构与性质关系进行分析等能力。</w:t>
      </w:r>
    </w:p>
    <w:p>
      <w:pPr>
        <w:spacing w:line="400" w:lineRule="exact"/>
        <w:ind w:firstLine="517" w:firstLineChars="245"/>
        <w:rPr>
          <w:rFonts w:ascii="宋体" w:hAnsi="宋体"/>
          <w:b/>
        </w:rPr>
      </w:pPr>
      <w:r>
        <w:rPr>
          <w:rFonts w:hint="eastAsia" w:ascii="宋体"/>
          <w:b/>
        </w:rPr>
        <w:t>2.</w:t>
      </w:r>
      <w:r>
        <w:rPr>
          <w:rFonts w:hint="eastAsia"/>
          <w:b/>
        </w:rPr>
        <w:t xml:space="preserve"> </w:t>
      </w:r>
      <w:r>
        <w:rPr>
          <w:rFonts w:hint="eastAsia" w:ascii="宋体"/>
          <w:b/>
        </w:rPr>
        <w:t xml:space="preserve">材料科学基础  </w:t>
      </w:r>
      <w:r>
        <w:rPr>
          <w:rFonts w:hint="eastAsia"/>
          <w:b/>
          <w:szCs w:val="21"/>
        </w:rPr>
        <w:t>3学分</w:t>
      </w:r>
    </w:p>
    <w:p>
      <w:pPr>
        <w:spacing w:line="400" w:lineRule="exact"/>
        <w:ind w:firstLine="525" w:firstLineChars="250"/>
        <w:rPr>
          <w:rFonts w:ascii="宋体" w:hAnsi="宋体"/>
        </w:rPr>
      </w:pPr>
      <w:r>
        <w:rPr>
          <w:rFonts w:hint="eastAsia" w:ascii="宋体" w:hAnsi="宋体"/>
        </w:rPr>
        <w:t>本课程是材料类专业同生产实际有密切联系的学科基础课程，是联系基础课与专业课的桥梁。主要任务是使学生系统掌握材料的化学成分、组织结构与性能之间的关系及其变化规律以及培养学生在材料使用和选择上正确的观念，为后继专业课的学习以及进一步深造奠定基础。</w:t>
      </w:r>
    </w:p>
    <w:p>
      <w:pPr>
        <w:spacing w:line="400" w:lineRule="exact"/>
        <w:ind w:firstLine="517" w:firstLineChars="245"/>
        <w:rPr>
          <w:rFonts w:ascii="宋体" w:hAnsi="宋体"/>
          <w:b/>
        </w:rPr>
      </w:pPr>
      <w:r>
        <w:rPr>
          <w:rFonts w:hint="eastAsia" w:ascii="宋体"/>
          <w:b/>
        </w:rPr>
        <w:t>3.</w:t>
      </w:r>
      <w:r>
        <w:rPr>
          <w:rFonts w:hint="eastAsia"/>
          <w:b/>
        </w:rPr>
        <w:t xml:space="preserve"> </w:t>
      </w:r>
      <w:r>
        <w:rPr>
          <w:rFonts w:hint="eastAsia" w:ascii="宋体"/>
          <w:b/>
        </w:rPr>
        <w:t xml:space="preserve">高分子化学  </w:t>
      </w:r>
      <w:r>
        <w:rPr>
          <w:rFonts w:hint="eastAsia"/>
          <w:b/>
          <w:szCs w:val="21"/>
        </w:rPr>
        <w:t>3学分</w:t>
      </w:r>
    </w:p>
    <w:p>
      <w:pPr>
        <w:spacing w:line="400" w:lineRule="exact"/>
        <w:ind w:firstLine="525" w:firstLineChars="250"/>
        <w:rPr>
          <w:rFonts w:ascii="宋体" w:hAnsi="宋体"/>
        </w:rPr>
      </w:pPr>
      <w:r>
        <w:rPr>
          <w:rFonts w:hint="eastAsia" w:ascii="宋体" w:hAnsi="宋体"/>
        </w:rPr>
        <w:t>高分子化学是高分子材料与工程专业的重要专业基础课程，主要讲授高分子合成原理和反应条件主要包括逐步聚合、连锁聚合以及自由基四大聚合方法等的学科。任务和目的是使学生较熟练地掌握高分子的基本概念和化学反应特性，掌握高分子化合物的合成原理及控制方法，从而为今后学习各门专业课程打下良好的基础。</w:t>
      </w:r>
    </w:p>
    <w:p>
      <w:pPr>
        <w:spacing w:line="400" w:lineRule="exact"/>
        <w:ind w:firstLine="517" w:firstLineChars="245"/>
        <w:rPr>
          <w:rFonts w:ascii="宋体" w:hAnsi="宋体"/>
          <w:b/>
        </w:rPr>
      </w:pPr>
      <w:r>
        <w:rPr>
          <w:rFonts w:hint="eastAsia" w:ascii="宋体"/>
          <w:b/>
        </w:rPr>
        <w:t>4.</w:t>
      </w:r>
      <w:r>
        <w:rPr>
          <w:rFonts w:hint="eastAsia"/>
          <w:b/>
        </w:rPr>
        <w:t xml:space="preserve"> </w:t>
      </w:r>
      <w:r>
        <w:rPr>
          <w:rFonts w:hint="eastAsia" w:ascii="宋体"/>
          <w:b/>
        </w:rPr>
        <w:t xml:space="preserve">高分子物理  </w:t>
      </w:r>
      <w:r>
        <w:rPr>
          <w:rFonts w:hint="eastAsia"/>
          <w:b/>
          <w:szCs w:val="21"/>
        </w:rPr>
        <w:t>3学分</w:t>
      </w:r>
    </w:p>
    <w:p>
      <w:pPr>
        <w:spacing w:line="400" w:lineRule="exact"/>
        <w:ind w:firstLine="525" w:firstLineChars="250"/>
        <w:rPr>
          <w:rFonts w:ascii="宋体" w:hAnsi="宋体"/>
        </w:rPr>
      </w:pPr>
      <w:r>
        <w:rPr>
          <w:rFonts w:hint="eastAsia" w:ascii="宋体" w:hAnsi="宋体"/>
        </w:rPr>
        <w:t>高分子物理是高分子材料与工程专业的重要专业基础课程。讲授聚合物结构与性能，通过研究聚合物分子运动，揭示聚合物结构与性能之间内在联系及基本规律，从而为聚合物的合成、成型加工、应用提供理论依据。通过该课程学习，使学生掌握高分子物理基本概念和基础理论，并对聚合物结构和性能有较充分了解；从而为今后学习各门专业课程打下良好基础。</w:t>
      </w:r>
    </w:p>
    <w:p>
      <w:pPr>
        <w:spacing w:line="400" w:lineRule="exact"/>
        <w:ind w:firstLine="517" w:firstLineChars="245"/>
        <w:rPr>
          <w:rFonts w:ascii="宋体" w:hAnsi="宋体"/>
          <w:b/>
        </w:rPr>
      </w:pPr>
      <w:r>
        <w:rPr>
          <w:rFonts w:hint="eastAsia" w:ascii="宋体"/>
          <w:b/>
        </w:rPr>
        <w:t>5.</w:t>
      </w:r>
      <w:r>
        <w:rPr>
          <w:rFonts w:hint="eastAsia"/>
          <w:b/>
        </w:rPr>
        <w:t xml:space="preserve"> </w:t>
      </w:r>
      <w:r>
        <w:rPr>
          <w:rFonts w:hint="eastAsia" w:ascii="宋体"/>
          <w:b/>
        </w:rPr>
        <w:t xml:space="preserve">聚合物合成原理与工艺  </w:t>
      </w:r>
      <w:r>
        <w:rPr>
          <w:rFonts w:hint="eastAsia"/>
          <w:b/>
          <w:szCs w:val="21"/>
        </w:rPr>
        <w:t>3学分</w:t>
      </w:r>
    </w:p>
    <w:p>
      <w:pPr>
        <w:spacing w:line="400" w:lineRule="exact"/>
        <w:ind w:firstLine="525" w:firstLineChars="250"/>
        <w:rPr>
          <w:rFonts w:ascii="宋体" w:hAnsi="宋体"/>
        </w:rPr>
      </w:pPr>
      <w:r>
        <w:rPr>
          <w:rFonts w:hint="eastAsia" w:ascii="宋体" w:hAnsi="宋体"/>
        </w:rPr>
        <w:t>本课程研究聚合反应过程中能量变化、化学反应方向和限度，理解反应参数对控制聚合反应、聚合物分子量及其结构的重要性。同时介绍高聚物合成方法与有关生产工艺理论基础。主要任务培养学生掌握塑料、合成纤维以及橡胶等高分子材料的生产方法、结构、 性能与应用等有关内容，全面了解高分子材料合成工艺的有关知识。</w:t>
      </w:r>
    </w:p>
    <w:p>
      <w:pPr>
        <w:spacing w:line="400" w:lineRule="exact"/>
        <w:ind w:firstLine="517" w:firstLineChars="245"/>
        <w:rPr>
          <w:rFonts w:ascii="宋体" w:hAnsi="宋体"/>
          <w:b/>
        </w:rPr>
      </w:pPr>
      <w:r>
        <w:rPr>
          <w:rFonts w:hint="eastAsia" w:ascii="宋体"/>
          <w:b/>
        </w:rPr>
        <w:t>6.</w:t>
      </w:r>
      <w:r>
        <w:rPr>
          <w:rFonts w:hint="eastAsia"/>
          <w:b/>
        </w:rPr>
        <w:t xml:space="preserve"> </w:t>
      </w:r>
      <w:r>
        <w:rPr>
          <w:rFonts w:hint="eastAsia" w:ascii="宋体"/>
          <w:b/>
        </w:rPr>
        <w:t xml:space="preserve">高分子材料成型工艺与设备  </w:t>
      </w:r>
      <w:r>
        <w:rPr>
          <w:rFonts w:hint="eastAsia"/>
          <w:b/>
          <w:szCs w:val="21"/>
        </w:rPr>
        <w:t>3学分</w:t>
      </w:r>
    </w:p>
    <w:p>
      <w:pPr>
        <w:spacing w:line="400" w:lineRule="exact"/>
        <w:ind w:firstLine="525" w:firstLineChars="250"/>
        <w:rPr>
          <w:rFonts w:ascii="宋体" w:hAnsi="宋体"/>
        </w:rPr>
      </w:pPr>
      <w:r>
        <w:rPr>
          <w:rFonts w:hint="eastAsia" w:ascii="宋体" w:hAnsi="宋体"/>
        </w:rPr>
        <w:t>本课程主要介绍高分子材料成型加工理论基础知识，主要生产方法与原理，控制产品质量的工程技术。其任务是使学生了解高分子材料加工条件与制品结构和性能的关系。培养学生掌握原材料性质、加工工艺（包括原材料配制、成型过程参数)、成型设备性能参数和成型模具结构因素对成型加工制品性能的综合影响。</w:t>
      </w:r>
    </w:p>
    <w:p>
      <w:pPr>
        <w:spacing w:line="400" w:lineRule="exact"/>
        <w:ind w:firstLine="517" w:firstLineChars="245"/>
        <w:rPr>
          <w:rFonts w:ascii="宋体" w:hAnsi="宋体"/>
          <w:b/>
        </w:rPr>
      </w:pPr>
      <w:r>
        <w:rPr>
          <w:rFonts w:hint="eastAsia" w:ascii="宋体"/>
          <w:b/>
        </w:rPr>
        <w:t>7.</w:t>
      </w:r>
      <w:r>
        <w:rPr>
          <w:rFonts w:hint="eastAsia"/>
          <w:b/>
        </w:rPr>
        <w:t xml:space="preserve"> </w:t>
      </w:r>
      <w:r>
        <w:rPr>
          <w:rFonts w:hint="eastAsia" w:ascii="宋体"/>
          <w:b/>
        </w:rPr>
        <w:t xml:space="preserve">高分子材料研究方法  </w:t>
      </w:r>
      <w:r>
        <w:rPr>
          <w:rFonts w:hint="eastAsia"/>
          <w:b/>
          <w:szCs w:val="21"/>
        </w:rPr>
        <w:t>3学分</w:t>
      </w:r>
    </w:p>
    <w:p>
      <w:pPr>
        <w:spacing w:line="400" w:lineRule="exact"/>
        <w:ind w:firstLine="525" w:firstLineChars="250"/>
        <w:rPr>
          <w:rFonts w:ascii="宋体" w:hAnsi="宋体"/>
        </w:rPr>
      </w:pPr>
      <w:r>
        <w:rPr>
          <w:rFonts w:hint="eastAsia" w:ascii="宋体" w:hAnsi="宋体"/>
        </w:rPr>
        <w:t>本课程是高分子材料与工程专业专业课。学习和掌握高分子材料研究方法为学好其他后续课和将来工作打下基础。培养学生分析问题，研究问题和解决问题的能力。本课程的任务是使学生了解和掌握高分子材料研究方法，包括光谱分析，核磁共振，气相色谱，高聚物的 热解分析，热分析，分子量测定，扫描电子显微技术等及其在聚合物结构研究中的应用。</w:t>
      </w:r>
    </w:p>
    <w:p>
      <w:pPr>
        <w:adjustRightInd w:val="0"/>
        <w:snapToGrid w:val="0"/>
        <w:spacing w:before="156" w:beforeLines="50" w:line="324" w:lineRule="auto"/>
        <w:ind w:firstLine="482" w:firstLineChars="200"/>
        <w:rPr>
          <w:b/>
          <w:bCs/>
          <w:sz w:val="24"/>
        </w:rPr>
      </w:pPr>
      <w:r>
        <w:rPr>
          <w:rFonts w:hint="eastAsia"/>
          <w:b/>
          <w:bCs/>
          <w:sz w:val="24"/>
        </w:rPr>
        <w:t>七、主要实践性教学环节</w:t>
      </w:r>
    </w:p>
    <w:p>
      <w:pPr>
        <w:widowControl/>
        <w:spacing w:line="400" w:lineRule="exact"/>
        <w:ind w:firstLine="420" w:firstLineChars="200"/>
        <w:jc w:val="left"/>
      </w:pPr>
      <w:r>
        <w:rPr>
          <w:rFonts w:hint="eastAsia"/>
        </w:rPr>
        <w:t>各专业主要实践性教学环节可参考教育部2012年颁布的《普通高等学校本科专业目录和专业介绍》中各专业所列主要实践性教学环节。</w:t>
      </w:r>
    </w:p>
    <w:p>
      <w:pPr>
        <w:spacing w:line="400" w:lineRule="exact"/>
        <w:ind w:firstLine="517" w:firstLineChars="245"/>
        <w:rPr>
          <w:rFonts w:ascii="宋体" w:hAnsi="宋体"/>
          <w:b/>
        </w:rPr>
      </w:pPr>
      <w:r>
        <w:rPr>
          <w:rFonts w:hint="eastAsia" w:ascii="宋体"/>
          <w:b/>
        </w:rPr>
        <w:t>1.</w:t>
      </w:r>
      <w:r>
        <w:rPr>
          <w:rFonts w:hint="eastAsia"/>
        </w:rPr>
        <w:t xml:space="preserve"> </w:t>
      </w:r>
      <w:r>
        <w:rPr>
          <w:rFonts w:hint="eastAsia" w:ascii="宋体"/>
          <w:b/>
        </w:rPr>
        <w:t xml:space="preserve">化学综合实验  </w:t>
      </w:r>
      <w:r>
        <w:rPr>
          <w:rFonts w:hint="eastAsia"/>
          <w:b/>
          <w:szCs w:val="21"/>
        </w:rPr>
        <w:t>2学分</w:t>
      </w:r>
    </w:p>
    <w:p>
      <w:pPr>
        <w:widowControl/>
        <w:spacing w:line="400" w:lineRule="exact"/>
        <w:ind w:firstLine="525" w:firstLineChars="250"/>
        <w:jc w:val="left"/>
        <w:rPr>
          <w:rFonts w:ascii="宋体" w:hAnsi="宋体"/>
          <w:szCs w:val="21"/>
        </w:rPr>
      </w:pPr>
      <w:r>
        <w:rPr>
          <w:rFonts w:hint="eastAsia" w:ascii="宋体" w:hAnsi="宋体"/>
        </w:rPr>
        <w:t>化学综合实验是以无机和分析化学实验为主的基础实验课程，旨在在培养学生掌握实验的基本操作、基本技能和基本知识的同时，努力培养学生的创新意识与创新能力。要求学生能够独立规范地完成一些简单的设计性实验，包括物质的制备、实验条件的设定，同时掌握实验室常用设备的使用，为后续的学习和科研活动奠定坚实的基础。</w:t>
      </w:r>
    </w:p>
    <w:p>
      <w:pPr>
        <w:spacing w:line="400" w:lineRule="exact"/>
        <w:ind w:firstLine="527" w:firstLineChars="250"/>
        <w:rPr>
          <w:rFonts w:ascii="宋体"/>
          <w:b/>
        </w:rPr>
      </w:pPr>
      <w:r>
        <w:rPr>
          <w:rFonts w:hint="eastAsia" w:ascii="宋体"/>
          <w:b/>
        </w:rPr>
        <w:t xml:space="preserve">2. 高分子基础实验  </w:t>
      </w:r>
      <w:r>
        <w:rPr>
          <w:rFonts w:hint="eastAsia"/>
          <w:b/>
          <w:szCs w:val="21"/>
        </w:rPr>
        <w:t>2学分</w:t>
      </w:r>
    </w:p>
    <w:p>
      <w:pPr>
        <w:spacing w:line="400" w:lineRule="exact"/>
        <w:ind w:firstLine="525" w:firstLineChars="250"/>
        <w:rPr>
          <w:rFonts w:ascii="宋体"/>
        </w:rPr>
      </w:pPr>
      <w:r>
        <w:rPr>
          <w:rFonts w:hint="eastAsia" w:ascii="宋体"/>
        </w:rPr>
        <w:t>高分子基础实验是以高分子化学和高分子物理实验为主的专业基础实验课程，要求学生通过对高分子化学和物理实验的学习，加深对高分子化学和物理基础知识和基本原理的理解。能够熟练和规范地进行高分子化学实验的基本操作，掌握实验技术和基本技能，了解实验室通用设备技术、精密仪器使用注意事项、实验数据分析与处理，为以后的科研工作打下坚实的实验基础。</w:t>
      </w:r>
    </w:p>
    <w:p>
      <w:pPr>
        <w:spacing w:line="400" w:lineRule="exact"/>
        <w:ind w:firstLine="527" w:firstLineChars="250"/>
        <w:rPr>
          <w:rFonts w:ascii="宋体"/>
          <w:b/>
        </w:rPr>
      </w:pPr>
      <w:r>
        <w:rPr>
          <w:rFonts w:hint="eastAsia" w:ascii="宋体"/>
          <w:b/>
        </w:rPr>
        <w:t xml:space="preserve">3. 高分子综合实验  </w:t>
      </w:r>
      <w:r>
        <w:rPr>
          <w:rFonts w:hint="eastAsia"/>
          <w:b/>
          <w:szCs w:val="21"/>
        </w:rPr>
        <w:t>1学分</w:t>
      </w:r>
    </w:p>
    <w:p>
      <w:pPr>
        <w:spacing w:line="400" w:lineRule="exact"/>
        <w:ind w:firstLine="525" w:firstLineChars="250"/>
        <w:rPr>
          <w:rFonts w:ascii="宋体"/>
        </w:rPr>
      </w:pPr>
      <w:r>
        <w:rPr>
          <w:rFonts w:hint="eastAsia" w:ascii="宋体"/>
        </w:rPr>
        <w:t>本课程以高分子材料制备、加工为背景，选择典型的工艺与工程要素，所组成系列的高 分子材料与工程专业实验。通过本课程的学习，使学生了解与熟悉有关高分子材料制品制备、加工过程等的实验技术和方法；掌握过程开发的基本研究方法和常用的实验基本技能；培养学生创造性思维，提高实践动手能力。</w:t>
      </w:r>
    </w:p>
    <w:p>
      <w:pPr>
        <w:spacing w:line="400" w:lineRule="exact"/>
        <w:ind w:firstLine="527" w:firstLineChars="250"/>
        <w:rPr>
          <w:rFonts w:ascii="宋体"/>
          <w:b/>
        </w:rPr>
      </w:pPr>
      <w:r>
        <w:rPr>
          <w:rFonts w:hint="eastAsia" w:ascii="宋体"/>
          <w:b/>
        </w:rPr>
        <w:t xml:space="preserve">4. 认识实习  </w:t>
      </w:r>
      <w:r>
        <w:rPr>
          <w:rFonts w:hint="eastAsia"/>
          <w:b/>
          <w:szCs w:val="21"/>
        </w:rPr>
        <w:t>1学分</w:t>
      </w:r>
    </w:p>
    <w:p>
      <w:pPr>
        <w:spacing w:line="400" w:lineRule="exact"/>
        <w:ind w:firstLine="525" w:firstLineChars="250"/>
        <w:rPr>
          <w:rFonts w:ascii="宋体"/>
        </w:rPr>
      </w:pPr>
      <w:r>
        <w:rPr>
          <w:rFonts w:hint="eastAsia" w:ascii="宋体"/>
        </w:rPr>
        <w:t>全面地为学生提供了解专业领域生产过程、工艺、高分子产品的机会。帮助学生了解高分子材料在工业化以后实际生产的现实状况、具体环境、实际设备条件等，增强对专业的感性认识，建立初步的工程观念。 本课程要求新生提交研讨报告，将理论知识和实践相结合，提高分析和解决问题的能力，为后继专业课的学习、课程设计和毕业设计打下坚实的基础。</w:t>
      </w:r>
    </w:p>
    <w:p>
      <w:pPr>
        <w:spacing w:line="400" w:lineRule="exact"/>
        <w:ind w:firstLine="527" w:firstLineChars="250"/>
        <w:rPr>
          <w:rFonts w:ascii="宋体"/>
          <w:b/>
        </w:rPr>
      </w:pPr>
      <w:r>
        <w:rPr>
          <w:rFonts w:hint="eastAsia" w:ascii="宋体"/>
          <w:b/>
        </w:rPr>
        <w:t xml:space="preserve">5. 毕业实习  </w:t>
      </w:r>
      <w:r>
        <w:rPr>
          <w:rFonts w:hint="eastAsia"/>
          <w:b/>
          <w:szCs w:val="21"/>
        </w:rPr>
        <w:t>4学分</w:t>
      </w:r>
    </w:p>
    <w:p>
      <w:pPr>
        <w:spacing w:line="400" w:lineRule="exact"/>
        <w:ind w:firstLine="525" w:firstLineChars="250"/>
        <w:rPr>
          <w:rFonts w:ascii="宋体"/>
        </w:rPr>
      </w:pPr>
      <w:r>
        <w:rPr>
          <w:rFonts w:hint="eastAsia" w:ascii="宋体"/>
        </w:rPr>
        <w:t>毕业实习是实践性教学环节的重要内容之一，是学生在校期间完成理论课向专业基础课、专业课过渡的必要环节，使学生接触工人，了解工厂，热爱自己的专业，扩大视野，是提供感性认识、获得工程训练的重要手段。</w:t>
      </w:r>
    </w:p>
    <w:p>
      <w:pPr>
        <w:spacing w:line="400" w:lineRule="exact"/>
        <w:ind w:firstLine="527" w:firstLineChars="250"/>
        <w:rPr>
          <w:rFonts w:ascii="宋体"/>
          <w:b/>
        </w:rPr>
      </w:pPr>
      <w:r>
        <w:rPr>
          <w:rFonts w:hint="eastAsia" w:ascii="宋体"/>
          <w:b/>
        </w:rPr>
        <w:t>6. 毕业设计（论文）  1</w:t>
      </w:r>
      <w:r>
        <w:rPr>
          <w:rFonts w:hint="eastAsia"/>
          <w:b/>
          <w:szCs w:val="21"/>
        </w:rPr>
        <w:t>2学分</w:t>
      </w:r>
    </w:p>
    <w:p>
      <w:pPr>
        <w:spacing w:line="400" w:lineRule="exact"/>
        <w:ind w:firstLine="525" w:firstLineChars="250"/>
        <w:rPr>
          <w:rFonts w:ascii="宋体"/>
        </w:rPr>
      </w:pPr>
      <w:r>
        <w:rPr>
          <w:rFonts w:hint="eastAsia" w:ascii="宋体"/>
        </w:rPr>
        <w:t>高分子材料与工程专业毕业环节分为毕业设计和毕业论文。是学生培养过程中最后一个综合性实践环节。对学生学习期间所获得知识综合考察，是理论与实践相结合的具体应用。通过完成某一高分子材料制备过程的工艺设计，综合运用相关理论和知识，掌握制备、设计。 通过查阅文献，确定方案，选择工艺，实验研究，撰写论文、报告，培养综合运用所学知识 和技能，独立分析和解决问题的能力。</w:t>
      </w:r>
    </w:p>
    <w:p>
      <w:pPr>
        <w:spacing w:line="400" w:lineRule="exact"/>
        <w:ind w:firstLine="525" w:firstLineChars="250"/>
        <w:rPr>
          <w:rFonts w:ascii="宋体"/>
        </w:rPr>
      </w:pPr>
    </w:p>
    <w:p>
      <w:pPr>
        <w:spacing w:line="400" w:lineRule="exact"/>
        <w:ind w:firstLine="525" w:firstLineChars="250"/>
        <w:rPr>
          <w:rFonts w:ascii="宋体"/>
        </w:rPr>
      </w:pPr>
    </w:p>
    <w:p>
      <w:pPr>
        <w:spacing w:line="400" w:lineRule="exact"/>
        <w:ind w:firstLine="525" w:firstLineChars="250"/>
        <w:rPr>
          <w:rFonts w:ascii="宋体"/>
        </w:rPr>
      </w:pPr>
    </w:p>
    <w:p>
      <w:pPr>
        <w:spacing w:line="400" w:lineRule="exact"/>
        <w:ind w:firstLine="525" w:firstLineChars="250"/>
        <w:rPr>
          <w:rFonts w:ascii="宋体"/>
        </w:rPr>
      </w:pPr>
    </w:p>
    <w:p>
      <w:pPr>
        <w:spacing w:line="400" w:lineRule="exact"/>
        <w:ind w:firstLine="525" w:firstLineChars="250"/>
        <w:rPr>
          <w:rFonts w:ascii="宋体"/>
        </w:rPr>
      </w:pPr>
    </w:p>
    <w:p>
      <w:pPr>
        <w:spacing w:line="400" w:lineRule="exact"/>
        <w:ind w:firstLine="525" w:firstLineChars="250"/>
        <w:rPr>
          <w:rFonts w:ascii="宋体"/>
        </w:rPr>
      </w:pPr>
    </w:p>
    <w:p>
      <w:pPr>
        <w:spacing w:line="400" w:lineRule="exact"/>
        <w:ind w:firstLine="525" w:firstLineChars="250"/>
        <w:rPr>
          <w:rFonts w:ascii="宋体"/>
        </w:rPr>
      </w:pPr>
    </w:p>
    <w:p>
      <w:pPr>
        <w:spacing w:line="400" w:lineRule="exact"/>
        <w:ind w:firstLine="525" w:firstLineChars="250"/>
        <w:rPr>
          <w:rFonts w:ascii="宋体"/>
        </w:rPr>
      </w:pPr>
    </w:p>
    <w:p>
      <w:pPr>
        <w:adjustRightInd w:val="0"/>
        <w:snapToGrid w:val="0"/>
        <w:spacing w:after="156" w:afterLines="50" w:line="264" w:lineRule="auto"/>
        <w:ind w:firstLine="482" w:firstLineChars="200"/>
      </w:pPr>
      <w:r>
        <w:rPr>
          <w:rFonts w:hint="eastAsia"/>
          <w:b/>
          <w:bCs/>
          <w:sz w:val="24"/>
        </w:rPr>
        <w:t>八、课程设置一览表</w:t>
      </w:r>
    </w:p>
    <w:tbl>
      <w:tblPr>
        <w:tblStyle w:val="22"/>
        <w:tblW w:w="9931" w:type="dxa"/>
        <w:tblInd w:w="-289" w:type="dxa"/>
        <w:tblLayout w:type="fixed"/>
        <w:tblCellMar>
          <w:top w:w="0" w:type="dxa"/>
          <w:left w:w="0" w:type="dxa"/>
          <w:bottom w:w="0" w:type="dxa"/>
          <w:right w:w="0" w:type="dxa"/>
        </w:tblCellMar>
      </w:tblPr>
      <w:tblGrid>
        <w:gridCol w:w="426"/>
        <w:gridCol w:w="425"/>
        <w:gridCol w:w="1134"/>
        <w:gridCol w:w="3776"/>
        <w:gridCol w:w="630"/>
        <w:gridCol w:w="630"/>
        <w:gridCol w:w="555"/>
        <w:gridCol w:w="645"/>
        <w:gridCol w:w="855"/>
        <w:gridCol w:w="855"/>
      </w:tblGrid>
      <w:tr>
        <w:tblPrEx>
          <w:tblCellMar>
            <w:top w:w="0" w:type="dxa"/>
            <w:left w:w="0" w:type="dxa"/>
            <w:bottom w:w="0" w:type="dxa"/>
            <w:right w:w="0" w:type="dxa"/>
          </w:tblCellMar>
        </w:tblPrEx>
        <w:trPr>
          <w:trHeight w:val="285" w:hRule="atLeast"/>
        </w:trPr>
        <w:tc>
          <w:tcPr>
            <w:tcW w:w="85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课程               类别</w:t>
            </w:r>
          </w:p>
        </w:tc>
        <w:tc>
          <w:tcPr>
            <w:tcW w:w="113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课程编号</w:t>
            </w:r>
          </w:p>
        </w:tc>
        <w:tc>
          <w:tcPr>
            <w:tcW w:w="377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课程名称</w:t>
            </w:r>
          </w:p>
        </w:tc>
        <w:tc>
          <w:tcPr>
            <w:tcW w:w="63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学分</w:t>
            </w:r>
          </w:p>
        </w:tc>
        <w:tc>
          <w:tcPr>
            <w:tcW w:w="118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学分分配</w:t>
            </w:r>
          </w:p>
        </w:tc>
        <w:tc>
          <w:tcPr>
            <w:tcW w:w="64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考核   形式</w:t>
            </w:r>
          </w:p>
        </w:tc>
        <w:tc>
          <w:tcPr>
            <w:tcW w:w="85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课内周  学时数</w:t>
            </w:r>
          </w:p>
        </w:tc>
        <w:tc>
          <w:tcPr>
            <w:tcW w:w="85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修读   学期</w:t>
            </w:r>
          </w:p>
        </w:tc>
      </w:tr>
      <w:tr>
        <w:tblPrEx>
          <w:tblCellMar>
            <w:top w:w="0" w:type="dxa"/>
            <w:left w:w="0" w:type="dxa"/>
            <w:bottom w:w="0" w:type="dxa"/>
            <w:right w:w="0" w:type="dxa"/>
          </w:tblCellMar>
        </w:tblPrEx>
        <w:trPr>
          <w:trHeight w:val="315" w:hRule="atLeast"/>
        </w:trPr>
        <w:tc>
          <w:tcPr>
            <w:tcW w:w="85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113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377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63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理论</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实践</w:t>
            </w:r>
          </w:p>
        </w:tc>
        <w:tc>
          <w:tcPr>
            <w:tcW w:w="64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8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Cs w:val="21"/>
              </w:rPr>
            </w:pPr>
          </w:p>
        </w:tc>
        <w:tc>
          <w:tcPr>
            <w:tcW w:w="85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b/>
                <w:color w:val="000000"/>
                <w:sz w:val="24"/>
              </w:rPr>
            </w:pPr>
          </w:p>
        </w:tc>
      </w:tr>
      <w:tr>
        <w:tblPrEx>
          <w:tblCellMar>
            <w:top w:w="0" w:type="dxa"/>
            <w:left w:w="0" w:type="dxa"/>
            <w:bottom w:w="0" w:type="dxa"/>
            <w:right w:w="0" w:type="dxa"/>
          </w:tblCellMar>
        </w:tblPrEx>
        <w:trPr>
          <w:trHeight w:val="342" w:hRule="atLeast"/>
        </w:trPr>
        <w:tc>
          <w:tcPr>
            <w:tcW w:w="4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通识教育平台</w:t>
            </w:r>
          </w:p>
        </w:tc>
        <w:tc>
          <w:tcPr>
            <w:tcW w:w="425"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通识必修课</w:t>
            </w: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1918G0001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马克思主义基本原理概论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342"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1905G0004</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信息技术及Java程序设计</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3.5</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342"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1901G0001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军事理论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342"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1901G0004</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大学生心理健康教育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342"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1902G0001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大学体育(Ⅰ)</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342"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1903G0001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大学英语A(Ⅰ)</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1918G0002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思想道德修养与法律基础</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1902G0002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大学体育(Ⅱ)</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1913G0001</w:t>
            </w:r>
          </w:p>
        </w:tc>
        <w:tc>
          <w:tcPr>
            <w:tcW w:w="37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工程伦理</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1903G0002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大学英语A(Ⅱ)</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1901G0003</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大学生职业规划教育</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color w:val="000000"/>
                <w:sz w:val="18"/>
                <w:szCs w:val="18"/>
              </w:rPr>
            </w:pPr>
            <w:r>
              <w:rPr>
                <w:rFonts w:hint="eastAsia"/>
                <w:color w:val="000000"/>
                <w:sz w:val="18"/>
                <w:szCs w:val="18"/>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1902G0003</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1903G0003</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1918G0003</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中国近现代史纲要</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1911G0001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音乐素养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FF0000"/>
                <w:sz w:val="18"/>
                <w:szCs w:val="18"/>
              </w:rPr>
            </w:pPr>
            <w:r>
              <w:rPr>
                <w:rFonts w:hint="eastAsia" w:ascii="宋体" w:hAnsi="宋体" w:cs="宋体"/>
                <w:color w:val="FF0000"/>
                <w:kern w:val="0"/>
                <w:sz w:val="18"/>
                <w:szCs w:val="18"/>
                <w:lang w:bidi="ar"/>
              </w:rPr>
              <w:t>3</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1918G0004</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毛泽东思想和中国特色社会主义理论体系概论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5</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4.5</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1902G0004</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大学体育(Ⅳ)</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1903G0004</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大学英语A(Ⅳ)</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1901G0002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大学生创新创业素质教育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1901G0005</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大学生就业指导教育</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sz w:val="18"/>
                <w:szCs w:val="18"/>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color w:val="000000"/>
                <w:sz w:val="18"/>
                <w:szCs w:val="18"/>
              </w:rPr>
            </w:pPr>
            <w:r>
              <w:rPr>
                <w:rFonts w:hint="eastAsia"/>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1902G0005</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大学体育(Ⅴ)</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1910G0002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应用文写作与创意写作</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1918G0005</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形势与政策</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52" w:lineRule="auto"/>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1-8</w:t>
            </w:r>
          </w:p>
        </w:tc>
      </w:tr>
      <w:tr>
        <w:tblPrEx>
          <w:tblCellMar>
            <w:top w:w="0" w:type="dxa"/>
            <w:left w:w="0" w:type="dxa"/>
            <w:bottom w:w="0" w:type="dxa"/>
            <w:right w:w="0" w:type="dxa"/>
          </w:tblCellMar>
        </w:tblPrEx>
        <w:trPr>
          <w:trHeight w:val="322"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5335"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spacing w:line="252" w:lineRule="auto"/>
              <w:jc w:val="center"/>
              <w:textAlignment w:val="center"/>
              <w:rPr>
                <w:rFonts w:ascii="宋体" w:hAnsi="宋体" w:cs="宋体"/>
                <w:b/>
                <w:color w:val="000000"/>
                <w:szCs w:val="21"/>
              </w:rPr>
            </w:pPr>
            <w:r>
              <w:rPr>
                <w:rFonts w:hint="eastAsia" w:ascii="宋体" w:hAnsi="宋体" w:cs="宋体"/>
                <w:b/>
                <w:color w:val="000000"/>
                <w:kern w:val="0"/>
                <w:szCs w:val="21"/>
                <w:lang w:bidi="ar"/>
              </w:rPr>
              <w:t>通识必修课小计</w:t>
            </w:r>
          </w:p>
        </w:tc>
        <w:tc>
          <w:tcPr>
            <w:tcW w:w="630"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45.5</w:t>
            </w:r>
          </w:p>
        </w:tc>
        <w:tc>
          <w:tcPr>
            <w:tcW w:w="630"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right"/>
              <w:textAlignment w:val="center"/>
              <w:rPr>
                <w:rFonts w:ascii="宋体" w:hAnsi="宋体" w:cs="宋体"/>
                <w:color w:val="000000"/>
                <w:szCs w:val="21"/>
              </w:rPr>
            </w:pPr>
            <w:r>
              <w:rPr>
                <w:rFonts w:hint="eastAsia" w:ascii="宋体" w:hAnsi="宋体" w:cs="宋体"/>
                <w:color w:val="000000"/>
                <w:kern w:val="0"/>
                <w:szCs w:val="21"/>
                <w:lang w:bidi="ar"/>
              </w:rPr>
              <w:t>36.5</w:t>
            </w:r>
          </w:p>
        </w:tc>
        <w:tc>
          <w:tcPr>
            <w:tcW w:w="55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spacing w:line="252" w:lineRule="auto"/>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spacing w:line="252" w:lineRule="auto"/>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spacing w:line="252" w:lineRule="auto"/>
              <w:rPr>
                <w:rFonts w:ascii="宋体" w:hAnsi="宋体" w:cs="宋体"/>
                <w:color w:val="000000"/>
                <w:szCs w:val="21"/>
              </w:rPr>
            </w:pPr>
          </w:p>
        </w:tc>
      </w:tr>
      <w:tr>
        <w:tblPrEx>
          <w:tblCellMar>
            <w:top w:w="0" w:type="dxa"/>
            <w:left w:w="0" w:type="dxa"/>
            <w:bottom w:w="0" w:type="dxa"/>
            <w:right w:w="0" w:type="dxa"/>
          </w:tblCellMar>
        </w:tblPrEx>
        <w:trPr>
          <w:trHeight w:val="405"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通识选修课</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rPr>
                <w:rFonts w:ascii="宋体" w:hAnsi="宋体" w:cs="宋体"/>
                <w:color w:val="000000"/>
                <w:sz w:val="24"/>
              </w:rPr>
            </w:pP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通识选修课程</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8</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r>
              <w:rPr>
                <w:rFonts w:hint="eastAsia" w:ascii="宋体" w:hAnsi="宋体" w:cs="宋体"/>
                <w:color w:val="000000"/>
                <w:kern w:val="0"/>
                <w:sz w:val="18"/>
                <w:szCs w:val="18"/>
                <w:lang w:bidi="ar"/>
              </w:rPr>
              <w:t>考查</w:t>
            </w:r>
            <w:bookmarkStart w:id="1" w:name="_GoBack"/>
            <w:bookmarkEnd w:id="1"/>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r>
      <w:tr>
        <w:tblPrEx>
          <w:tblCellMar>
            <w:top w:w="0" w:type="dxa"/>
            <w:left w:w="0" w:type="dxa"/>
            <w:bottom w:w="0" w:type="dxa"/>
            <w:right w:w="0" w:type="dxa"/>
          </w:tblCellMar>
        </w:tblPrEx>
        <w:trPr>
          <w:trHeight w:val="220"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rPr>
                <w:rFonts w:ascii="宋体" w:hAnsi="宋体" w:cs="宋体"/>
                <w:color w:val="000000"/>
                <w:sz w:val="24"/>
              </w:rPr>
            </w:pP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rPr>
                <w:rFonts w:ascii="宋体" w:hAnsi="宋体" w:cs="宋体"/>
                <w:color w:val="000000"/>
                <w:sz w:val="24"/>
              </w:rPr>
            </w:pP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rPr>
                <w:rFonts w:ascii="宋体" w:hAnsi="宋体" w:cs="宋体"/>
                <w:color w:val="000000"/>
                <w:sz w:val="24"/>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r>
      <w:tr>
        <w:tblPrEx>
          <w:tblCellMar>
            <w:top w:w="0" w:type="dxa"/>
            <w:left w:w="0" w:type="dxa"/>
            <w:bottom w:w="0" w:type="dxa"/>
            <w:right w:w="0" w:type="dxa"/>
          </w:tblCellMar>
        </w:tblPrEx>
        <w:trPr>
          <w:trHeight w:val="331" w:hRule="atLeast"/>
        </w:trPr>
        <w:tc>
          <w:tcPr>
            <w:tcW w:w="4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rPr>
                <w:rFonts w:ascii="宋体" w:hAnsi="宋体" w:cs="宋体"/>
                <w:color w:val="000000"/>
                <w:szCs w:val="21"/>
              </w:rPr>
            </w:pP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rPr>
                <w:rFonts w:ascii="宋体" w:hAnsi="宋体" w:cs="宋体"/>
                <w:color w:val="000000"/>
                <w:sz w:val="24"/>
              </w:rPr>
            </w:pP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rPr>
                <w:rFonts w:ascii="宋体" w:hAnsi="宋体" w:cs="宋体"/>
                <w:color w:val="000000"/>
                <w:sz w:val="24"/>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Cs w:val="21"/>
              </w:rPr>
            </w:pPr>
          </w:p>
        </w:tc>
      </w:tr>
      <w:tr>
        <w:tblPrEx>
          <w:tblCellMar>
            <w:top w:w="0" w:type="dxa"/>
            <w:left w:w="0" w:type="dxa"/>
            <w:bottom w:w="0" w:type="dxa"/>
            <w:right w:w="0" w:type="dxa"/>
          </w:tblCellMar>
        </w:tblPrEx>
        <w:trPr>
          <w:trHeight w:val="39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5335"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spacing w:line="252" w:lineRule="auto"/>
              <w:jc w:val="center"/>
              <w:textAlignment w:val="center"/>
              <w:rPr>
                <w:rFonts w:ascii="宋体" w:hAnsi="宋体" w:cs="宋体"/>
                <w:b/>
                <w:color w:val="000000"/>
                <w:szCs w:val="21"/>
              </w:rPr>
            </w:pPr>
            <w:r>
              <w:rPr>
                <w:rFonts w:hint="eastAsia" w:ascii="宋体" w:hAnsi="宋体" w:cs="宋体"/>
                <w:b/>
                <w:color w:val="000000"/>
                <w:kern w:val="0"/>
                <w:szCs w:val="21"/>
                <w:lang w:bidi="ar"/>
              </w:rPr>
              <w:t>通识选修课小计</w:t>
            </w:r>
          </w:p>
        </w:tc>
        <w:tc>
          <w:tcPr>
            <w:tcW w:w="630"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8</w:t>
            </w:r>
          </w:p>
        </w:tc>
        <w:tc>
          <w:tcPr>
            <w:tcW w:w="630"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8</w:t>
            </w:r>
          </w:p>
        </w:tc>
        <w:tc>
          <w:tcPr>
            <w:tcW w:w="55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spacing w:line="252" w:lineRule="auto"/>
              <w:jc w:val="center"/>
              <w:rPr>
                <w:rFonts w:ascii="宋体" w:hAnsi="宋体" w:cs="宋体"/>
                <w:color w:val="000000"/>
                <w:szCs w:val="21"/>
              </w:rPr>
            </w:pP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此模块至少选修8学分</w:t>
            </w:r>
          </w:p>
        </w:tc>
      </w:tr>
      <w:tr>
        <w:tblPrEx>
          <w:tblCellMar>
            <w:top w:w="0" w:type="dxa"/>
            <w:left w:w="0" w:type="dxa"/>
            <w:bottom w:w="0" w:type="dxa"/>
            <w:right w:w="0" w:type="dxa"/>
          </w:tblCellMar>
        </w:tblPrEx>
        <w:trPr>
          <w:trHeight w:val="399" w:hRule="atLeast"/>
        </w:trPr>
        <w:tc>
          <w:tcPr>
            <w:tcW w:w="5761" w:type="dxa"/>
            <w:gridSpan w:val="4"/>
            <w:tcBorders>
              <w:top w:val="single" w:color="000000" w:sz="4" w:space="0"/>
              <w:left w:val="single" w:color="000000" w:sz="4" w:space="0"/>
              <w:bottom w:val="single" w:color="auto" w:sz="4" w:space="0"/>
              <w:right w:val="single" w:color="000000" w:sz="4" w:space="0"/>
            </w:tcBorders>
            <w:shd w:val="clear" w:color="auto" w:fill="99CC00"/>
            <w:tcMar>
              <w:top w:w="15" w:type="dxa"/>
              <w:left w:w="15" w:type="dxa"/>
              <w:right w:w="15" w:type="dxa"/>
            </w:tcMar>
            <w:vAlign w:val="center"/>
          </w:tcPr>
          <w:p>
            <w:pPr>
              <w:widowControl/>
              <w:spacing w:line="252" w:lineRule="auto"/>
              <w:jc w:val="center"/>
              <w:textAlignment w:val="center"/>
              <w:rPr>
                <w:rFonts w:ascii="宋体" w:hAnsi="宋体" w:cs="宋体"/>
                <w:b/>
                <w:color w:val="000000"/>
                <w:szCs w:val="21"/>
              </w:rPr>
            </w:pPr>
            <w:r>
              <w:rPr>
                <w:rFonts w:hint="eastAsia" w:ascii="宋体" w:hAnsi="宋体" w:cs="宋体"/>
                <w:b/>
                <w:color w:val="000000"/>
                <w:kern w:val="0"/>
                <w:szCs w:val="21"/>
                <w:lang w:bidi="ar"/>
              </w:rPr>
              <w:t>通识课程平台合计</w:t>
            </w:r>
          </w:p>
        </w:tc>
        <w:tc>
          <w:tcPr>
            <w:tcW w:w="630"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53.5</w:t>
            </w:r>
          </w:p>
        </w:tc>
        <w:tc>
          <w:tcPr>
            <w:tcW w:w="630"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44.5</w:t>
            </w:r>
          </w:p>
        </w:tc>
        <w:tc>
          <w:tcPr>
            <w:tcW w:w="55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9</w:t>
            </w:r>
          </w:p>
        </w:tc>
        <w:tc>
          <w:tcPr>
            <w:tcW w:w="64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spacing w:line="252" w:lineRule="auto"/>
              <w:rPr>
                <w:rFonts w:ascii="宋体" w:hAnsi="宋体" w:cs="宋体"/>
                <w:color w:val="000000"/>
                <w:szCs w:val="21"/>
              </w:rPr>
            </w:pPr>
          </w:p>
        </w:tc>
        <w:tc>
          <w:tcPr>
            <w:tcW w:w="85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spacing w:line="252" w:lineRule="auto"/>
              <w:rPr>
                <w:rFonts w:ascii="宋体" w:hAnsi="宋体" w:cs="宋体"/>
                <w:color w:val="000000"/>
                <w:szCs w:val="21"/>
              </w:rPr>
            </w:pPr>
          </w:p>
        </w:tc>
        <w:tc>
          <w:tcPr>
            <w:tcW w:w="855" w:type="dxa"/>
            <w:tcBorders>
              <w:top w:val="single" w:color="000000" w:sz="4" w:space="0"/>
              <w:left w:val="single" w:color="000000" w:sz="4" w:space="0"/>
              <w:bottom w:val="single" w:color="auto" w:sz="4" w:space="0"/>
              <w:right w:val="single" w:color="000000" w:sz="4" w:space="0"/>
            </w:tcBorders>
            <w:shd w:val="clear" w:color="auto" w:fill="99CC00"/>
            <w:noWrap/>
            <w:tcMar>
              <w:top w:w="15" w:type="dxa"/>
              <w:left w:w="15" w:type="dxa"/>
              <w:right w:w="15" w:type="dxa"/>
            </w:tcMar>
            <w:vAlign w:val="center"/>
          </w:tcPr>
          <w:p>
            <w:pPr>
              <w:spacing w:line="252" w:lineRule="auto"/>
              <w:rPr>
                <w:rFonts w:ascii="宋体" w:hAnsi="宋体" w:cs="宋体"/>
                <w:color w:val="000000"/>
                <w:szCs w:val="21"/>
              </w:rPr>
            </w:pPr>
          </w:p>
        </w:tc>
      </w:tr>
      <w:tr>
        <w:tblPrEx>
          <w:tblCellMar>
            <w:top w:w="0" w:type="dxa"/>
            <w:left w:w="0" w:type="dxa"/>
            <w:bottom w:w="0" w:type="dxa"/>
            <w:right w:w="0" w:type="dxa"/>
          </w:tblCellMar>
        </w:tblPrEx>
        <w:trPr>
          <w:trHeight w:val="285"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专业教育平台</w:t>
            </w:r>
          </w:p>
        </w:tc>
        <w:tc>
          <w:tcPr>
            <w:tcW w:w="425"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学科基础课</w:t>
            </w: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1904B0001</w:t>
            </w:r>
          </w:p>
        </w:tc>
        <w:tc>
          <w:tcPr>
            <w:tcW w:w="3776"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高等数学A(Ⅰ)</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285" w:hRule="atLeast"/>
        </w:trPr>
        <w:tc>
          <w:tcPr>
            <w:tcW w:w="4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1913B0001</w:t>
            </w:r>
          </w:p>
        </w:tc>
        <w:tc>
          <w:tcPr>
            <w:tcW w:w="3776"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无机及分析化学(Ⅰ)</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285" w:hRule="atLeast"/>
        </w:trPr>
        <w:tc>
          <w:tcPr>
            <w:tcW w:w="4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1906B0012</w:t>
            </w:r>
          </w:p>
        </w:tc>
        <w:tc>
          <w:tcPr>
            <w:tcW w:w="3776"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工程制图</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285" w:hRule="atLeast"/>
        </w:trPr>
        <w:tc>
          <w:tcPr>
            <w:tcW w:w="4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1904B0014</w:t>
            </w:r>
          </w:p>
        </w:tc>
        <w:tc>
          <w:tcPr>
            <w:tcW w:w="3776"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大学物理B(Ⅰ)</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285" w:hRule="atLeast"/>
        </w:trPr>
        <w:tc>
          <w:tcPr>
            <w:tcW w:w="4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1904B0002</w:t>
            </w:r>
          </w:p>
        </w:tc>
        <w:tc>
          <w:tcPr>
            <w:tcW w:w="3776"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高等数学A(Ⅱ)</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285" w:hRule="atLeast"/>
        </w:trPr>
        <w:tc>
          <w:tcPr>
            <w:tcW w:w="4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1913B0002</w:t>
            </w:r>
          </w:p>
        </w:tc>
        <w:tc>
          <w:tcPr>
            <w:tcW w:w="3776"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无机及分析化学(Ⅱ)</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285" w:hRule="atLeast"/>
        </w:trPr>
        <w:tc>
          <w:tcPr>
            <w:tcW w:w="42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1913B2001</w:t>
            </w:r>
          </w:p>
        </w:tc>
        <w:tc>
          <w:tcPr>
            <w:tcW w:w="3776"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有机化学(Ⅰ)</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315" w:hRule="atLeast"/>
        </w:trPr>
        <w:tc>
          <w:tcPr>
            <w:tcW w:w="426"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auto"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1904B0011</w:t>
            </w:r>
          </w:p>
        </w:tc>
        <w:tc>
          <w:tcPr>
            <w:tcW w:w="3776"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线性代数与概率统计</w:t>
            </w:r>
          </w:p>
        </w:tc>
        <w:tc>
          <w:tcPr>
            <w:tcW w:w="630"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1913B0013</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材料力学</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1904B0015</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大学物理B(Ⅱ)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4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1904B0018</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大学物理实验B</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60"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1913B2002</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有机化学(Ⅱ)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00"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1913B0005</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物理化学(Ⅰ)</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rFonts w:hint="eastAsia"/>
                <w:color w:val="000000"/>
                <w:kern w:val="0"/>
                <w:sz w:val="18"/>
                <w:szCs w:val="18"/>
                <w:lang w:bidi="ar"/>
              </w:rPr>
              <w:t>1906B0014</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机械基础</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1913B0007</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物理化学(Ⅱ)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1913B0009</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化工原理(Ⅰ)</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1913B0010</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1913B3001</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化工原理实验</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1906B0013</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电工学A</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2.5</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0.5</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446"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5335"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spacing w:line="252" w:lineRule="auto"/>
              <w:jc w:val="center"/>
              <w:textAlignment w:val="center"/>
              <w:rPr>
                <w:rFonts w:ascii="宋体" w:hAnsi="宋体" w:cs="宋体"/>
                <w:b/>
                <w:color w:val="000000"/>
                <w:szCs w:val="21"/>
              </w:rPr>
            </w:pPr>
            <w:r>
              <w:rPr>
                <w:rFonts w:hint="eastAsia" w:ascii="宋体" w:hAnsi="宋体" w:cs="宋体"/>
                <w:b/>
                <w:color w:val="000000"/>
                <w:kern w:val="0"/>
                <w:szCs w:val="21"/>
                <w:lang w:bidi="ar"/>
              </w:rPr>
              <w:t>学科基础课小计</w:t>
            </w:r>
          </w:p>
        </w:tc>
        <w:tc>
          <w:tcPr>
            <w:tcW w:w="630"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47</w:t>
            </w:r>
          </w:p>
        </w:tc>
        <w:tc>
          <w:tcPr>
            <w:tcW w:w="630"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44.5</w:t>
            </w:r>
          </w:p>
        </w:tc>
        <w:tc>
          <w:tcPr>
            <w:tcW w:w="55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2.5</w:t>
            </w:r>
          </w:p>
        </w:tc>
        <w:tc>
          <w:tcPr>
            <w:tcW w:w="64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00FF00"/>
            <w:noWrap/>
            <w:tcMar>
              <w:top w:w="15" w:type="dxa"/>
              <w:left w:w="15" w:type="dxa"/>
              <w:right w:w="15" w:type="dxa"/>
            </w:tcMar>
            <w:vAlign w:val="center"/>
          </w:tcPr>
          <w:p>
            <w:pPr>
              <w:spacing w:line="252" w:lineRule="auto"/>
              <w:rPr>
                <w:rFonts w:ascii="宋体" w:hAnsi="宋体" w:cs="宋体"/>
                <w:color w:val="000000"/>
                <w:szCs w:val="21"/>
              </w:rPr>
            </w:pPr>
          </w:p>
        </w:tc>
      </w:tr>
      <w:tr>
        <w:tblPrEx>
          <w:tblCellMar>
            <w:top w:w="0" w:type="dxa"/>
            <w:left w:w="0" w:type="dxa"/>
            <w:bottom w:w="0" w:type="dxa"/>
            <w:right w:w="0" w:type="dxa"/>
          </w:tblCellMar>
        </w:tblPrEx>
        <w:trPr>
          <w:trHeight w:val="28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专业必修课</w:t>
            </w: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1913P0009</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高分子专业导论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1913P3001</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化学综合实验(Ⅰ)</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1913P2008</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材料科学基础</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1913P3002</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化学综合实验(Ⅱ)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1913P3003</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有机化学实验</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1913P3004</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物理化学实验</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1913P2009</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高分子化学</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1913P3007</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高分子基础实验(Ⅰ)</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1913P2010</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高分子物理</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1913P3008</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高分子基础实验(Ⅱ)</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1913P0002</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化工技术经济与管理</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1913P0027</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高分子专业英语</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1913P0006</w:t>
            </w:r>
          </w:p>
        </w:tc>
        <w:tc>
          <w:tcPr>
            <w:tcW w:w="37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计算机在材料科学中的应用</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1913P0005</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化工CAD</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1913P2011</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聚合物合成原理与工艺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1913P2012</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高分子材料成型工艺与设备</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1913P2013</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高分子材料研究方法</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1913P0004</w:t>
            </w:r>
          </w:p>
        </w:tc>
        <w:tc>
          <w:tcPr>
            <w:tcW w:w="377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化工安全与环保</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282"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1913P3009</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高分子加工实验</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1913P3010</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高分子综合实验</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1913P0026</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高分子配方设计及应用</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考试</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1913P0010</w:t>
            </w:r>
          </w:p>
        </w:tc>
        <w:tc>
          <w:tcPr>
            <w:tcW w:w="377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高分子学科前沿</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spacing w:line="252" w:lineRule="auto"/>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52" w:lineRule="auto"/>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color w:val="000000"/>
                <w:sz w:val="18"/>
                <w:szCs w:val="18"/>
              </w:rPr>
            </w:pPr>
            <w:r>
              <w:rPr>
                <w:color w:val="000000"/>
                <w:kern w:val="0"/>
                <w:sz w:val="18"/>
                <w:szCs w:val="18"/>
                <w:lang w:bidi="ar"/>
              </w:rPr>
              <w:t>1913P0008</w:t>
            </w:r>
          </w:p>
        </w:tc>
        <w:tc>
          <w:tcPr>
            <w:tcW w:w="3776"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文献检索与写作</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252" w:lineRule="auto"/>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252"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497" w:hRule="atLeast"/>
        </w:trPr>
        <w:tc>
          <w:tcPr>
            <w:tcW w:w="426"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5335" w:type="dxa"/>
            <w:gridSpan w:val="3"/>
            <w:tcBorders>
              <w:top w:val="single" w:color="auto" w:sz="4" w:space="0"/>
              <w:left w:val="single" w:color="auto" w:sz="4" w:space="0"/>
              <w:bottom w:val="single" w:color="auto" w:sz="4" w:space="0"/>
              <w:right w:val="single" w:color="auto" w:sz="4" w:space="0"/>
            </w:tcBorders>
            <w:shd w:val="clear" w:color="auto" w:fill="00FF00"/>
            <w:tcMar>
              <w:top w:w="15" w:type="dxa"/>
              <w:left w:w="15" w:type="dxa"/>
              <w:right w:w="15" w:type="dxa"/>
            </w:tcMar>
            <w:vAlign w:val="center"/>
          </w:tcPr>
          <w:p>
            <w:pPr>
              <w:widowControl/>
              <w:spacing w:line="252" w:lineRule="auto"/>
              <w:jc w:val="center"/>
              <w:textAlignment w:val="center"/>
              <w:rPr>
                <w:rFonts w:ascii="宋体" w:hAnsi="宋体" w:cs="宋体"/>
                <w:b/>
                <w:color w:val="000000"/>
                <w:szCs w:val="21"/>
              </w:rPr>
            </w:pPr>
            <w:r>
              <w:rPr>
                <w:rFonts w:hint="eastAsia" w:ascii="宋体" w:hAnsi="宋体" w:cs="宋体"/>
                <w:b/>
                <w:color w:val="000000"/>
                <w:kern w:val="0"/>
                <w:szCs w:val="21"/>
                <w:lang w:bidi="ar"/>
              </w:rPr>
              <w:t>专业必修课小计</w:t>
            </w:r>
          </w:p>
        </w:tc>
        <w:tc>
          <w:tcPr>
            <w:tcW w:w="630" w:type="dxa"/>
            <w:tcBorders>
              <w:top w:val="single" w:color="000000" w:sz="4" w:space="0"/>
              <w:left w:val="single" w:color="auto" w:sz="4" w:space="0"/>
              <w:bottom w:val="single" w:color="000000" w:sz="4" w:space="0"/>
              <w:right w:val="single" w:color="000000" w:sz="4" w:space="0"/>
            </w:tcBorders>
            <w:shd w:val="clear" w:color="auto" w:fill="00FF00"/>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40</w:t>
            </w:r>
          </w:p>
        </w:tc>
        <w:tc>
          <w:tcPr>
            <w:tcW w:w="630"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30</w:t>
            </w:r>
          </w:p>
        </w:tc>
        <w:tc>
          <w:tcPr>
            <w:tcW w:w="55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spacing w:line="252" w:lineRule="auto"/>
              <w:jc w:val="center"/>
              <w:textAlignment w:val="center"/>
              <w:rPr>
                <w:rFonts w:ascii="宋体" w:hAnsi="宋体" w:cs="宋体"/>
                <w:color w:val="000000"/>
                <w:szCs w:val="21"/>
              </w:rPr>
            </w:pPr>
            <w:r>
              <w:rPr>
                <w:rFonts w:hint="eastAsia" w:ascii="宋体" w:hAnsi="宋体" w:cs="宋体"/>
                <w:color w:val="000000"/>
                <w:kern w:val="0"/>
                <w:szCs w:val="21"/>
                <w:lang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spacing w:line="252" w:lineRule="auto"/>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spacing w:line="252" w:lineRule="auto"/>
              <w:jc w:val="center"/>
              <w:rPr>
                <w:rFonts w:ascii="宋体" w:hAnsi="宋体" w:cs="宋体"/>
                <w:color w:val="000000"/>
                <w:szCs w:val="21"/>
              </w:rPr>
            </w:pPr>
          </w:p>
        </w:tc>
      </w:tr>
      <w:tr>
        <w:tblPrEx>
          <w:tblCellMar>
            <w:top w:w="0" w:type="dxa"/>
            <w:left w:w="0" w:type="dxa"/>
            <w:bottom w:w="0" w:type="dxa"/>
            <w:right w:w="0" w:type="dxa"/>
          </w:tblCellMar>
        </w:tblPrEx>
        <w:trPr>
          <w:trHeight w:val="285" w:hRule="atLeast"/>
        </w:trPr>
        <w:tc>
          <w:tcPr>
            <w:tcW w:w="426" w:type="dxa"/>
            <w:vMerge w:val="continue"/>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kern w:val="0"/>
                <w:szCs w:val="21"/>
                <w:lang w:bidi="ar"/>
              </w:rPr>
            </w:pPr>
            <w:r>
              <w:rPr>
                <w:rFonts w:hint="eastAsia" w:ascii="宋体" w:hAnsi="宋体" w:cs="宋体"/>
                <w:b/>
                <w:color w:val="000000"/>
                <w:kern w:val="0"/>
                <w:szCs w:val="21"/>
                <w:lang w:bidi="ar"/>
              </w:rPr>
              <w:t>专</w:t>
            </w:r>
          </w:p>
          <w:p>
            <w:pPr>
              <w:widowControl/>
              <w:jc w:val="center"/>
              <w:textAlignment w:val="center"/>
              <w:rPr>
                <w:rFonts w:ascii="宋体" w:hAnsi="宋体" w:cs="宋体"/>
                <w:b/>
                <w:color w:val="000000"/>
                <w:kern w:val="0"/>
                <w:szCs w:val="21"/>
                <w:lang w:bidi="ar"/>
              </w:rPr>
            </w:pPr>
            <w:r>
              <w:rPr>
                <w:rFonts w:hint="eastAsia" w:ascii="宋体" w:hAnsi="宋体" w:cs="宋体"/>
                <w:b/>
                <w:color w:val="000000"/>
                <w:kern w:val="0"/>
                <w:szCs w:val="21"/>
                <w:lang w:bidi="ar"/>
              </w:rPr>
              <w:t>业</w:t>
            </w:r>
          </w:p>
          <w:p>
            <w:pPr>
              <w:widowControl/>
              <w:jc w:val="center"/>
              <w:textAlignment w:val="center"/>
              <w:rPr>
                <w:rFonts w:ascii="宋体" w:hAnsi="宋体" w:cs="宋体"/>
                <w:b/>
                <w:color w:val="000000"/>
                <w:kern w:val="0"/>
                <w:szCs w:val="21"/>
                <w:lang w:bidi="ar"/>
              </w:rPr>
            </w:pPr>
            <w:r>
              <w:rPr>
                <w:rFonts w:hint="eastAsia" w:ascii="宋体" w:hAnsi="宋体" w:cs="宋体"/>
                <w:b/>
                <w:color w:val="000000"/>
                <w:kern w:val="0"/>
                <w:szCs w:val="21"/>
                <w:lang w:bidi="ar"/>
              </w:rPr>
              <w:t>选</w:t>
            </w:r>
          </w:p>
          <w:p>
            <w:pPr>
              <w:widowControl/>
              <w:jc w:val="center"/>
              <w:textAlignment w:val="center"/>
              <w:rPr>
                <w:rFonts w:ascii="宋体" w:hAnsi="宋体" w:cs="宋体"/>
                <w:b/>
                <w:color w:val="000000"/>
                <w:kern w:val="0"/>
                <w:szCs w:val="21"/>
                <w:lang w:bidi="ar"/>
              </w:rPr>
            </w:pPr>
            <w:r>
              <w:rPr>
                <w:rFonts w:hint="eastAsia" w:ascii="宋体" w:hAnsi="宋体" w:cs="宋体"/>
                <w:b/>
                <w:color w:val="000000"/>
                <w:kern w:val="0"/>
                <w:szCs w:val="21"/>
                <w:lang w:bidi="ar"/>
              </w:rPr>
              <w:t>修</w:t>
            </w:r>
          </w:p>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课</w:t>
            </w:r>
          </w:p>
        </w:tc>
        <w:tc>
          <w:tcPr>
            <w:tcW w:w="1134" w:type="dxa"/>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1901P1001</w:t>
            </w:r>
          </w:p>
        </w:tc>
        <w:tc>
          <w:tcPr>
            <w:tcW w:w="3776"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◇实验室安全</w:t>
            </w:r>
          </w:p>
        </w:tc>
        <w:tc>
          <w:tcPr>
            <w:tcW w:w="630"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top w:val="single" w:color="auto" w:sz="4" w:space="0"/>
              <w:left w:val="single" w:color="auto" w:sz="4" w:space="0"/>
              <w:right w:val="nil"/>
            </w:tcBorders>
            <w:noWrap/>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p>
        </w:tc>
        <w:tc>
          <w:tcPr>
            <w:tcW w:w="1134"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1913P1008</w:t>
            </w:r>
          </w:p>
        </w:tc>
        <w:tc>
          <w:tcPr>
            <w:tcW w:w="3776"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中级无机化学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1913P1014</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材料化学</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1913P1013</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环境化工概论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1913P1009</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中级有机化学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废水监测分析方法</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1913P1027</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聚合反应工程</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Fonts w:hint="eastAsia"/>
                <w:color w:val="000000"/>
                <w:kern w:val="0"/>
                <w:sz w:val="18"/>
                <w:szCs w:val="18"/>
                <w:lang w:bidi="ar"/>
              </w:rPr>
              <w:t>1913P1018</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化工废水处理</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1913P1017</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化工产品市场营销</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1913P1010</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Fonts w:hint="eastAsia" w:ascii="宋体" w:hAnsi="宋体" w:cs="宋体"/>
                <w:color w:val="000000"/>
                <w:kern w:val="0"/>
                <w:sz w:val="18"/>
                <w:szCs w:val="18"/>
                <w:lang w:bidi="ar"/>
              </w:rPr>
              <w:t>新能源材料与应用</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电池材料与技术</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1913P1016</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计算材料学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1913P1019</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绿色化学概论</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1913P1042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71"/>
                <w:rFonts w:hint="default" w:ascii="Times New Roman" w:hAnsi="Times New Roman"/>
                <w:lang w:bidi="ar"/>
              </w:rPr>
              <w:t>实验设计与数据处理</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rStyle w:val="71"/>
                <w:rFonts w:hint="default"/>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7</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1913P1021</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高分子成型设备与模具 </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1913P1022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聚合物共混改性</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1913P1020</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功能高分子</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1913P1023</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高分子材料与应用</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426" w:type="dxa"/>
            <w:vMerge w:val="continue"/>
            <w:tcBorders>
              <w:top w:val="single" w:color="000000" w:sz="4" w:space="0"/>
              <w:left w:val="single" w:color="auto" w:sz="4" w:space="0"/>
              <w:bottom w:val="single" w:color="000000" w:sz="4" w:space="0"/>
              <w:right w:val="single" w:color="auto"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425" w:type="dxa"/>
            <w:vMerge w:val="continue"/>
            <w:tcBorders>
              <w:left w:val="single" w:color="auto" w:sz="4" w:space="0"/>
              <w:bottom w:val="nil"/>
              <w:right w:val="nil"/>
            </w:tcBorders>
            <w:noWrap/>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1913P1024</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高分子复合材料</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285" w:hRule="atLeast"/>
        </w:trPr>
        <w:tc>
          <w:tcPr>
            <w:tcW w:w="426"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宋体" w:hAnsi="宋体" w:cs="宋体"/>
                <w:b/>
                <w:color w:val="000000"/>
                <w:szCs w:val="21"/>
              </w:rPr>
            </w:pPr>
          </w:p>
        </w:tc>
        <w:tc>
          <w:tcPr>
            <w:tcW w:w="5335" w:type="dxa"/>
            <w:gridSpan w:val="3"/>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专业选修课小计</w:t>
            </w:r>
          </w:p>
        </w:tc>
        <w:tc>
          <w:tcPr>
            <w:tcW w:w="630"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8</w:t>
            </w:r>
          </w:p>
        </w:tc>
        <w:tc>
          <w:tcPr>
            <w:tcW w:w="630"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8</w:t>
            </w:r>
          </w:p>
        </w:tc>
        <w:tc>
          <w:tcPr>
            <w:tcW w:w="55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jc w:val="center"/>
              <w:rPr>
                <w:rFonts w:ascii="宋体" w:hAnsi="宋体" w:cs="宋体"/>
                <w:color w:val="000000"/>
                <w:szCs w:val="21"/>
              </w:rPr>
            </w:pPr>
          </w:p>
        </w:tc>
        <w:tc>
          <w:tcPr>
            <w:tcW w:w="64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00FF00"/>
            <w:tcMar>
              <w:top w:w="15" w:type="dxa"/>
              <w:left w:w="15" w:type="dxa"/>
              <w:right w:w="15" w:type="dxa"/>
            </w:tcMar>
            <w:vAlign w:val="center"/>
          </w:tcPr>
          <w:p>
            <w:pPr>
              <w:jc w:val="center"/>
              <w:rPr>
                <w:rFonts w:ascii="宋体" w:hAnsi="宋体" w:cs="宋体"/>
                <w:color w:val="000000"/>
                <w:szCs w:val="21"/>
              </w:rPr>
            </w:pPr>
          </w:p>
        </w:tc>
      </w:tr>
      <w:tr>
        <w:tblPrEx>
          <w:tblCellMar>
            <w:top w:w="0" w:type="dxa"/>
            <w:left w:w="0" w:type="dxa"/>
            <w:bottom w:w="0" w:type="dxa"/>
            <w:right w:w="0" w:type="dxa"/>
          </w:tblCellMar>
        </w:tblPrEx>
        <w:trPr>
          <w:trHeight w:val="285" w:hRule="atLeast"/>
        </w:trPr>
        <w:tc>
          <w:tcPr>
            <w:tcW w:w="5761" w:type="dxa"/>
            <w:gridSpan w:val="4"/>
            <w:tcBorders>
              <w:top w:val="single" w:color="000000" w:sz="4" w:space="0"/>
              <w:left w:val="single" w:color="000000" w:sz="4" w:space="0"/>
              <w:bottom w:val="single" w:color="000000" w:sz="4" w:space="0"/>
              <w:right w:val="single" w:color="000000" w:sz="4" w:space="0"/>
            </w:tcBorders>
            <w:shd w:val="clear" w:color="auto" w:fill="99CC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专业课程平台合计</w:t>
            </w:r>
          </w:p>
        </w:tc>
        <w:tc>
          <w:tcPr>
            <w:tcW w:w="630"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right"/>
              <w:textAlignment w:val="center"/>
              <w:rPr>
                <w:rFonts w:ascii="宋体" w:hAnsi="宋体" w:cs="宋体"/>
                <w:color w:val="000000"/>
                <w:szCs w:val="21"/>
              </w:rPr>
            </w:pPr>
            <w:r>
              <w:rPr>
                <w:rFonts w:hint="eastAsia" w:ascii="宋体" w:hAnsi="宋体" w:cs="宋体"/>
                <w:color w:val="000000"/>
                <w:kern w:val="0"/>
                <w:szCs w:val="21"/>
                <w:lang w:bidi="ar"/>
              </w:rPr>
              <w:t>95</w:t>
            </w:r>
          </w:p>
        </w:tc>
        <w:tc>
          <w:tcPr>
            <w:tcW w:w="630"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right"/>
              <w:textAlignment w:val="center"/>
              <w:rPr>
                <w:rFonts w:ascii="宋体" w:hAnsi="宋体" w:cs="宋体"/>
                <w:color w:val="000000"/>
                <w:szCs w:val="21"/>
              </w:rPr>
            </w:pPr>
            <w:r>
              <w:rPr>
                <w:rFonts w:hint="eastAsia" w:ascii="宋体" w:hAnsi="宋体" w:cs="宋体"/>
                <w:color w:val="000000"/>
                <w:kern w:val="0"/>
                <w:szCs w:val="21"/>
                <w:lang w:bidi="ar"/>
              </w:rPr>
              <w:t>82.5</w:t>
            </w:r>
          </w:p>
        </w:tc>
        <w:tc>
          <w:tcPr>
            <w:tcW w:w="5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right"/>
              <w:textAlignment w:val="center"/>
              <w:rPr>
                <w:rFonts w:ascii="宋体" w:hAnsi="宋体" w:cs="宋体"/>
                <w:color w:val="000000"/>
                <w:szCs w:val="21"/>
              </w:rPr>
            </w:pPr>
            <w:r>
              <w:rPr>
                <w:rFonts w:hint="eastAsia" w:ascii="宋体" w:hAnsi="宋体" w:cs="宋体"/>
                <w:color w:val="000000"/>
                <w:kern w:val="0"/>
                <w:szCs w:val="21"/>
                <w:lang w:bidi="ar"/>
              </w:rPr>
              <w:t>12.5</w:t>
            </w:r>
          </w:p>
        </w:tc>
        <w:tc>
          <w:tcPr>
            <w:tcW w:w="64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rPr>
                <w:rFonts w:ascii="宋体" w:hAnsi="宋体" w:cs="宋体"/>
                <w:color w:val="000000"/>
                <w:szCs w:val="21"/>
              </w:rPr>
            </w:pPr>
          </w:p>
        </w:tc>
      </w:tr>
      <w:tr>
        <w:tblPrEx>
          <w:tblCellMar>
            <w:top w:w="0" w:type="dxa"/>
            <w:left w:w="0" w:type="dxa"/>
            <w:bottom w:w="0" w:type="dxa"/>
            <w:right w:w="0" w:type="dxa"/>
          </w:tblCellMar>
        </w:tblPrEx>
        <w:trPr>
          <w:trHeight w:val="375" w:hRule="atLeast"/>
        </w:trPr>
        <w:tc>
          <w:tcPr>
            <w:tcW w:w="851" w:type="dxa"/>
            <w:gridSpan w:val="2"/>
            <w:vMerge w:val="restart"/>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实践教育平台</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1901T0001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军事技能</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r>
              <w:rPr>
                <w:rFonts w:hint="eastAsia" w:ascii="宋体" w:hAnsi="宋体" w:cs="宋体"/>
                <w:color w:val="000000"/>
                <w:sz w:val="18"/>
                <w:szCs w:val="18"/>
              </w:rPr>
              <w:t>2</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r>
      <w:tr>
        <w:tblPrEx>
          <w:tblCellMar>
            <w:top w:w="0" w:type="dxa"/>
            <w:left w:w="0" w:type="dxa"/>
            <w:bottom w:w="0" w:type="dxa"/>
            <w:right w:w="0" w:type="dxa"/>
          </w:tblCellMar>
        </w:tblPrEx>
        <w:trPr>
          <w:trHeight w:val="375" w:hRule="atLeast"/>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Fonts w:hint="eastAsia"/>
                <w:color w:val="000000"/>
                <w:kern w:val="0"/>
                <w:sz w:val="18"/>
                <w:szCs w:val="18"/>
                <w:lang w:bidi="ar"/>
              </w:rPr>
              <w:t>1906T0022</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机械基础课程设计</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r>
      <w:tr>
        <w:tblPrEx>
          <w:tblCellMar>
            <w:top w:w="0" w:type="dxa"/>
            <w:left w:w="0" w:type="dxa"/>
            <w:bottom w:w="0" w:type="dxa"/>
            <w:right w:w="0" w:type="dxa"/>
          </w:tblCellMar>
        </w:tblPrEx>
        <w:trPr>
          <w:trHeight w:val="375" w:hRule="atLeast"/>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rFonts w:hint="eastAsia"/>
                <w:color w:val="000000"/>
                <w:kern w:val="0"/>
                <w:sz w:val="18"/>
                <w:szCs w:val="18"/>
                <w:lang w:bidi="ar"/>
              </w:rPr>
              <w:t>1906T0021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金工实习</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60" w:hRule="atLeast"/>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1913T0009</w:t>
            </w:r>
          </w:p>
        </w:tc>
        <w:tc>
          <w:tcPr>
            <w:tcW w:w="37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化工原理课程设计</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r>
      <w:tr>
        <w:tblPrEx>
          <w:tblCellMar>
            <w:top w:w="0" w:type="dxa"/>
            <w:left w:w="0" w:type="dxa"/>
            <w:bottom w:w="0" w:type="dxa"/>
            <w:right w:w="0" w:type="dxa"/>
          </w:tblCellMar>
        </w:tblPrEx>
        <w:trPr>
          <w:trHeight w:val="360" w:hRule="atLeast"/>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1913T0005</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综合创新训练</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2</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5-7</w:t>
            </w:r>
          </w:p>
        </w:tc>
      </w:tr>
      <w:tr>
        <w:tblPrEx>
          <w:tblCellMar>
            <w:top w:w="0" w:type="dxa"/>
            <w:left w:w="0" w:type="dxa"/>
            <w:bottom w:w="0" w:type="dxa"/>
            <w:right w:w="0" w:type="dxa"/>
          </w:tblCellMar>
        </w:tblPrEx>
        <w:trPr>
          <w:trHeight w:val="300" w:hRule="atLeast"/>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1913T0001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认识实习</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r>
      <w:tr>
        <w:tblPrEx>
          <w:tblCellMar>
            <w:top w:w="0" w:type="dxa"/>
            <w:left w:w="0" w:type="dxa"/>
            <w:bottom w:w="0" w:type="dxa"/>
            <w:right w:w="0" w:type="dxa"/>
          </w:tblCellMar>
        </w:tblPrEx>
        <w:trPr>
          <w:trHeight w:val="315" w:hRule="atLeast"/>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1913T0007</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毕业实习</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4</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4</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1913T0011</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高分子工艺设计</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2</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7</w:t>
            </w:r>
          </w:p>
        </w:tc>
      </w:tr>
      <w:tr>
        <w:tblPrEx>
          <w:tblCellMar>
            <w:top w:w="0" w:type="dxa"/>
            <w:left w:w="0" w:type="dxa"/>
            <w:bottom w:w="0" w:type="dxa"/>
            <w:right w:w="0" w:type="dxa"/>
          </w:tblCellMar>
        </w:tblPrEx>
        <w:trPr>
          <w:trHeight w:val="315" w:hRule="atLeast"/>
        </w:trPr>
        <w:tc>
          <w:tcPr>
            <w:tcW w:w="851" w:type="dxa"/>
            <w:gridSpan w:val="2"/>
            <w:vMerge w:val="continue"/>
            <w:tcBorders>
              <w:top w:val="single" w:color="000000" w:sz="4" w:space="0"/>
              <w:left w:val="single" w:color="000000" w:sz="4" w:space="0"/>
              <w:bottom w:val="nil"/>
              <w:right w:val="single" w:color="000000" w:sz="4" w:space="0"/>
            </w:tcBorders>
            <w:tcMar>
              <w:top w:w="15" w:type="dxa"/>
              <w:left w:w="15" w:type="dxa"/>
              <w:right w:w="15" w:type="dxa"/>
            </w:tcMar>
            <w:textDirection w:val="tbRlV"/>
            <w:vAlign w:val="center"/>
          </w:tcPr>
          <w:p>
            <w:pPr>
              <w:jc w:val="center"/>
              <w:rPr>
                <w:rFonts w:ascii="宋体" w:hAnsi="宋体" w:cs="宋体"/>
                <w:b/>
                <w:color w:val="000000"/>
                <w:szCs w:val="21"/>
              </w:rPr>
            </w:pP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lang w:bidi="ar"/>
              </w:rPr>
              <w:t>1913T0008</w:t>
            </w:r>
          </w:p>
        </w:tc>
        <w:tc>
          <w:tcPr>
            <w:tcW w:w="37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毕业设计（论文）</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12</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12</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考查</w:t>
            </w: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jc w:val="center"/>
              <w:rPr>
                <w:rFonts w:ascii="宋体" w:hAnsi="宋体" w:cs="宋体"/>
                <w:color w:val="000000"/>
                <w:sz w:val="18"/>
                <w:szCs w:val="18"/>
              </w:rPr>
            </w:pPr>
          </w:p>
        </w:tc>
        <w:tc>
          <w:tcPr>
            <w:tcW w:w="8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top"/>
              <w:rPr>
                <w:rFonts w:ascii="宋体" w:hAnsi="宋体" w:cs="宋体"/>
                <w:color w:val="000000"/>
                <w:sz w:val="18"/>
                <w:szCs w:val="18"/>
              </w:rPr>
            </w:pPr>
            <w:r>
              <w:rPr>
                <w:rFonts w:hint="eastAsia" w:ascii="宋体" w:hAnsi="宋体" w:cs="宋体"/>
                <w:color w:val="000000"/>
                <w:kern w:val="0"/>
                <w:sz w:val="18"/>
                <w:szCs w:val="18"/>
                <w:lang w:bidi="ar"/>
              </w:rPr>
              <w:t>8</w:t>
            </w:r>
          </w:p>
        </w:tc>
      </w:tr>
      <w:tr>
        <w:tblPrEx>
          <w:tblCellMar>
            <w:top w:w="0" w:type="dxa"/>
            <w:left w:w="0" w:type="dxa"/>
            <w:bottom w:w="0" w:type="dxa"/>
            <w:right w:w="0" w:type="dxa"/>
          </w:tblCellMar>
        </w:tblPrEx>
        <w:trPr>
          <w:trHeight w:val="285" w:hRule="atLeast"/>
        </w:trPr>
        <w:tc>
          <w:tcPr>
            <w:tcW w:w="5761" w:type="dxa"/>
            <w:gridSpan w:val="4"/>
            <w:tcBorders>
              <w:top w:val="single" w:color="000000" w:sz="4" w:space="0"/>
              <w:left w:val="single" w:color="000000" w:sz="4" w:space="0"/>
              <w:bottom w:val="single" w:color="000000" w:sz="4" w:space="0"/>
              <w:right w:val="single" w:color="000000" w:sz="4" w:space="0"/>
            </w:tcBorders>
            <w:shd w:val="clear" w:color="auto" w:fill="99CC00"/>
            <w:tcMar>
              <w:top w:w="15" w:type="dxa"/>
              <w:left w:w="15" w:type="dxa"/>
              <w:right w:w="15" w:type="dxa"/>
            </w:tcMar>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lang w:bidi="ar"/>
              </w:rPr>
              <w:t>实践教育平台合计</w:t>
            </w:r>
          </w:p>
        </w:tc>
        <w:tc>
          <w:tcPr>
            <w:tcW w:w="630"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26</w:t>
            </w:r>
          </w:p>
        </w:tc>
        <w:tc>
          <w:tcPr>
            <w:tcW w:w="630"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宋体" w:hAnsi="宋体" w:cs="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26</w:t>
            </w:r>
          </w:p>
        </w:tc>
        <w:tc>
          <w:tcPr>
            <w:tcW w:w="64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宋体" w:hAnsi="宋体" w:cs="宋体"/>
                <w:color w:val="000000"/>
                <w:szCs w:val="21"/>
              </w:rPr>
            </w:pPr>
          </w:p>
        </w:tc>
        <w:tc>
          <w:tcPr>
            <w:tcW w:w="855" w:type="dxa"/>
            <w:tcBorders>
              <w:top w:val="single" w:color="000000" w:sz="4" w:space="0"/>
              <w:left w:val="single" w:color="000000" w:sz="4" w:space="0"/>
              <w:bottom w:val="single" w:color="000000" w:sz="4" w:space="0"/>
              <w:right w:val="single" w:color="000000" w:sz="4" w:space="0"/>
            </w:tcBorders>
            <w:shd w:val="clear" w:color="auto" w:fill="99CC00"/>
            <w:noWrap/>
            <w:tcMar>
              <w:top w:w="15" w:type="dxa"/>
              <w:left w:w="15" w:type="dxa"/>
              <w:right w:w="15" w:type="dxa"/>
            </w:tcMar>
            <w:vAlign w:val="center"/>
          </w:tcPr>
          <w:p>
            <w:pPr>
              <w:jc w:val="center"/>
              <w:rPr>
                <w:rFonts w:ascii="宋体" w:hAnsi="宋体" w:cs="宋体"/>
                <w:color w:val="000000"/>
                <w:szCs w:val="21"/>
              </w:rPr>
            </w:pPr>
          </w:p>
        </w:tc>
      </w:tr>
      <w:tr>
        <w:tblPrEx>
          <w:tblCellMar>
            <w:top w:w="0" w:type="dxa"/>
            <w:left w:w="0" w:type="dxa"/>
            <w:bottom w:w="0" w:type="dxa"/>
            <w:right w:w="0" w:type="dxa"/>
          </w:tblCellMar>
        </w:tblPrEx>
        <w:trPr>
          <w:trHeight w:val="285" w:hRule="atLeast"/>
        </w:trPr>
        <w:tc>
          <w:tcPr>
            <w:tcW w:w="5761" w:type="dxa"/>
            <w:gridSpan w:val="4"/>
            <w:tcBorders>
              <w:top w:val="single" w:color="000000" w:sz="4" w:space="0"/>
              <w:left w:val="single" w:color="000000" w:sz="4" w:space="0"/>
              <w:bottom w:val="single" w:color="000000" w:sz="4" w:space="0"/>
              <w:right w:val="single" w:color="000000" w:sz="4" w:space="0"/>
            </w:tcBorders>
            <w:shd w:val="clear" w:color="auto" w:fill="FF9900"/>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lang w:bidi="ar"/>
              </w:rPr>
              <w:t>学分共计</w:t>
            </w:r>
          </w:p>
        </w:tc>
        <w:tc>
          <w:tcPr>
            <w:tcW w:w="630"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174.5</w:t>
            </w:r>
          </w:p>
        </w:tc>
        <w:tc>
          <w:tcPr>
            <w:tcW w:w="630"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127</w:t>
            </w:r>
          </w:p>
        </w:tc>
        <w:tc>
          <w:tcPr>
            <w:tcW w:w="55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47.5</w:t>
            </w:r>
          </w:p>
        </w:tc>
        <w:tc>
          <w:tcPr>
            <w:tcW w:w="64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rFonts w:ascii="宋体" w:hAnsi="宋体" w:cs="宋体"/>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FF9900"/>
            <w:noWrap/>
            <w:tcMar>
              <w:top w:w="15" w:type="dxa"/>
              <w:left w:w="15" w:type="dxa"/>
              <w:right w:w="15" w:type="dxa"/>
            </w:tcMar>
            <w:vAlign w:val="center"/>
          </w:tcPr>
          <w:p>
            <w:pPr>
              <w:rPr>
                <w:rFonts w:ascii="宋体" w:hAnsi="宋体" w:cs="宋体"/>
                <w:color w:val="000000"/>
                <w:sz w:val="20"/>
                <w:szCs w:val="20"/>
              </w:rPr>
            </w:pPr>
          </w:p>
        </w:tc>
      </w:tr>
    </w:tbl>
    <w:p>
      <w:pPr>
        <w:spacing w:before="312" w:beforeLines="100" w:after="156" w:afterLines="50" w:line="400" w:lineRule="exact"/>
        <w:jc w:val="center"/>
        <w:rPr>
          <w:szCs w:val="21"/>
        </w:rPr>
      </w:pPr>
    </w:p>
    <w:p>
      <w:pPr>
        <w:spacing w:before="312" w:beforeLines="100" w:after="156" w:afterLines="50" w:line="400" w:lineRule="exact"/>
        <w:jc w:val="center"/>
        <w:rPr>
          <w:szCs w:val="21"/>
        </w:rPr>
      </w:pPr>
    </w:p>
    <w:p>
      <w:pPr>
        <w:spacing w:before="312" w:beforeLines="100" w:after="156" w:afterLines="50" w:line="400" w:lineRule="exact"/>
        <w:jc w:val="center"/>
        <w:rPr>
          <w:szCs w:val="21"/>
        </w:rPr>
      </w:pPr>
    </w:p>
    <w:p>
      <w:pPr>
        <w:spacing w:before="312" w:beforeLines="100" w:after="156" w:afterLines="50" w:line="400" w:lineRule="exact"/>
        <w:jc w:val="center"/>
        <w:rPr>
          <w:szCs w:val="21"/>
        </w:rPr>
      </w:pPr>
    </w:p>
    <w:p>
      <w:pPr>
        <w:spacing w:before="312" w:beforeLines="100" w:after="156" w:afterLines="50" w:line="400" w:lineRule="exact"/>
        <w:jc w:val="center"/>
        <w:rPr>
          <w:b/>
          <w:sz w:val="24"/>
          <w:szCs w:val="24"/>
        </w:rPr>
      </w:pPr>
      <w:r>
        <w:rPr>
          <w:rFonts w:hint="eastAsia"/>
          <w:b/>
          <w:sz w:val="24"/>
          <w:szCs w:val="24"/>
        </w:rPr>
        <w:t>高分子材料与工程</w:t>
      </w:r>
      <w:r>
        <w:rPr>
          <w:b/>
          <w:sz w:val="24"/>
          <w:szCs w:val="24"/>
        </w:rPr>
        <w:t>专业课程构成及学分分配汇总表</w:t>
      </w:r>
    </w:p>
    <w:tbl>
      <w:tblPr>
        <w:tblStyle w:val="2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590"/>
        <w:gridCol w:w="1580"/>
        <w:gridCol w:w="1088"/>
        <w:gridCol w:w="1247"/>
        <w:gridCol w:w="1632"/>
        <w:gridCol w:w="165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课 程 分 类</w:t>
            </w:r>
          </w:p>
        </w:tc>
        <w:tc>
          <w:tcPr>
            <w:tcW w:w="1088" w:type="dxa"/>
            <w:tcBorders>
              <w:top w:val="single" w:color="auto" w:sz="4" w:space="0"/>
              <w:left w:val="single" w:color="auto" w:sz="6" w:space="0"/>
              <w:bottom w:val="nil"/>
              <w:right w:val="single" w:color="auto" w:sz="6" w:space="0"/>
            </w:tcBorders>
            <w:vAlign w:val="center"/>
          </w:tcPr>
          <w:p>
            <w:pPr>
              <w:jc w:val="center"/>
              <w:rPr>
                <w:szCs w:val="21"/>
              </w:rPr>
            </w:pPr>
            <w:r>
              <w:rPr>
                <w:szCs w:val="21"/>
              </w:rPr>
              <w:t>学分</w:t>
            </w:r>
          </w:p>
        </w:tc>
        <w:tc>
          <w:tcPr>
            <w:tcW w:w="1247" w:type="dxa"/>
            <w:tcBorders>
              <w:top w:val="single" w:color="auto" w:sz="4" w:space="0"/>
              <w:left w:val="single" w:color="auto" w:sz="6" w:space="0"/>
              <w:bottom w:val="nil"/>
              <w:right w:val="single" w:color="auto" w:sz="6" w:space="0"/>
            </w:tcBorders>
            <w:vAlign w:val="center"/>
          </w:tcPr>
          <w:p>
            <w:pPr>
              <w:jc w:val="center"/>
              <w:rPr>
                <w:szCs w:val="21"/>
              </w:rPr>
            </w:pPr>
            <w:r>
              <w:rPr>
                <w:szCs w:val="21"/>
              </w:rPr>
              <w:t>比例</w:t>
            </w:r>
            <w:r>
              <w:rPr>
                <w:rFonts w:hint="eastAsia"/>
                <w:szCs w:val="21"/>
              </w:rPr>
              <w:t>（%）</w:t>
            </w:r>
          </w:p>
        </w:tc>
        <w:tc>
          <w:tcPr>
            <w:tcW w:w="1632" w:type="dxa"/>
            <w:tcBorders>
              <w:top w:val="single" w:color="auto" w:sz="4" w:space="0"/>
              <w:left w:val="single" w:color="auto" w:sz="6" w:space="0"/>
              <w:bottom w:val="nil"/>
              <w:right w:val="single" w:color="auto" w:sz="4" w:space="0"/>
            </w:tcBorders>
            <w:vAlign w:val="center"/>
          </w:tcPr>
          <w:p>
            <w:pPr>
              <w:jc w:val="center"/>
              <w:rPr>
                <w:szCs w:val="21"/>
              </w:rPr>
            </w:pPr>
            <w:r>
              <w:rPr>
                <w:szCs w:val="21"/>
              </w:rPr>
              <w:t>实践环节学分</w:t>
            </w:r>
          </w:p>
        </w:tc>
        <w:tc>
          <w:tcPr>
            <w:tcW w:w="1650" w:type="dxa"/>
            <w:tcBorders>
              <w:top w:val="single" w:color="auto" w:sz="4" w:space="0"/>
              <w:left w:val="single" w:color="auto" w:sz="6" w:space="0"/>
              <w:bottom w:val="nil"/>
              <w:right w:val="single" w:color="auto" w:sz="4" w:space="0"/>
            </w:tcBorders>
            <w:vAlign w:val="center"/>
          </w:tcPr>
          <w:p>
            <w:pPr>
              <w:jc w:val="center"/>
              <w:rPr>
                <w:szCs w:val="21"/>
              </w:rPr>
            </w:pPr>
            <w:r>
              <w:rPr>
                <w:szCs w:val="21"/>
              </w:rPr>
              <w:t>实践环节</w:t>
            </w:r>
          </w:p>
          <w:p>
            <w:pPr>
              <w:jc w:val="center"/>
              <w:rPr>
                <w:szCs w:val="21"/>
              </w:rPr>
            </w:pPr>
            <w:r>
              <w:rPr>
                <w:szCs w:val="21"/>
              </w:rPr>
              <w:t>学分比例</w:t>
            </w:r>
            <w:r>
              <w:rPr>
                <w:rFonts w:hint="eastAsia"/>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restart"/>
            <w:tcBorders>
              <w:top w:val="single" w:color="auto" w:sz="6" w:space="0"/>
              <w:left w:val="single" w:color="auto" w:sz="4" w:space="0"/>
              <w:bottom w:val="single" w:color="auto" w:sz="6" w:space="0"/>
              <w:right w:val="single" w:color="auto" w:sz="6" w:space="0"/>
            </w:tcBorders>
            <w:vAlign w:val="center"/>
          </w:tcPr>
          <w:p>
            <w:pPr>
              <w:jc w:val="center"/>
              <w:rPr>
                <w:szCs w:val="21"/>
              </w:rPr>
            </w:pPr>
            <w:r>
              <w:rPr>
                <w:szCs w:val="21"/>
              </w:rPr>
              <w:t>通识</w:t>
            </w:r>
            <w:r>
              <w:rPr>
                <w:rFonts w:hint="eastAsia"/>
                <w:szCs w:val="21"/>
              </w:rPr>
              <w:t>教育</w:t>
            </w:r>
            <w:r>
              <w:rPr>
                <w:szCs w:val="21"/>
              </w:rPr>
              <w:t>平台</w:t>
            </w: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通识必修课</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szCs w:val="21"/>
              </w:rPr>
            </w:pPr>
            <w:r>
              <w:rPr>
                <w:rFonts w:hint="eastAsia"/>
                <w:szCs w:val="21"/>
              </w:rPr>
              <w:t>45.5</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cs="宋体"/>
                <w:sz w:val="24"/>
              </w:rPr>
            </w:pPr>
            <w:r>
              <w:rPr>
                <w:rFonts w:hint="eastAsia"/>
              </w:rPr>
              <w:t>26.07</w:t>
            </w:r>
          </w:p>
        </w:tc>
        <w:tc>
          <w:tcPr>
            <w:tcW w:w="1632" w:type="dxa"/>
            <w:tcBorders>
              <w:top w:val="single" w:color="auto" w:sz="6" w:space="0"/>
              <w:left w:val="single" w:color="auto" w:sz="6" w:space="0"/>
              <w:bottom w:val="single" w:color="auto" w:sz="4" w:space="0"/>
              <w:right w:val="single" w:color="auto" w:sz="6" w:space="0"/>
            </w:tcBorders>
            <w:vAlign w:val="center"/>
          </w:tcPr>
          <w:p>
            <w:pPr>
              <w:jc w:val="center"/>
              <w:rPr>
                <w:szCs w:val="21"/>
              </w:rPr>
            </w:pPr>
            <w:r>
              <w:rPr>
                <w:rFonts w:hint="eastAsia"/>
                <w:szCs w:val="21"/>
              </w:rPr>
              <w:t>9</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rFonts w:ascii="宋体" w:hAnsi="宋体" w:cs="宋体"/>
                <w:sz w:val="24"/>
              </w:rPr>
            </w:pPr>
            <w:r>
              <w:rPr>
                <w:rFonts w:hint="eastAsia"/>
              </w:rPr>
              <w:t>5.16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top w:val="single" w:color="auto" w:sz="6" w:space="0"/>
              <w:left w:val="single" w:color="auto" w:sz="4" w:space="0"/>
              <w:bottom w:val="single" w:color="auto" w:sz="6" w:space="0"/>
              <w:right w:val="single" w:color="auto" w:sz="6" w:space="0"/>
            </w:tcBorders>
            <w:vAlign w:val="center"/>
          </w:tcPr>
          <w:p>
            <w:pPr>
              <w:jc w:val="center"/>
              <w:rPr>
                <w:szCs w:val="21"/>
              </w:rPr>
            </w:pPr>
          </w:p>
        </w:tc>
        <w:tc>
          <w:tcPr>
            <w:tcW w:w="1580" w:type="dxa"/>
            <w:tcBorders>
              <w:top w:val="single" w:color="auto" w:sz="6" w:space="0"/>
              <w:left w:val="single" w:color="auto" w:sz="6" w:space="0"/>
              <w:bottom w:val="single" w:color="auto" w:sz="4" w:space="0"/>
              <w:right w:val="single" w:color="auto" w:sz="6" w:space="0"/>
            </w:tcBorders>
            <w:vAlign w:val="center"/>
          </w:tcPr>
          <w:p>
            <w:pPr>
              <w:jc w:val="center"/>
              <w:rPr>
                <w:szCs w:val="21"/>
              </w:rPr>
            </w:pPr>
            <w:r>
              <w:rPr>
                <w:szCs w:val="21"/>
              </w:rPr>
              <w:t>通识选修课</w:t>
            </w:r>
          </w:p>
        </w:tc>
        <w:tc>
          <w:tcPr>
            <w:tcW w:w="108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8</w:t>
            </w:r>
          </w:p>
        </w:tc>
        <w:tc>
          <w:tcPr>
            <w:tcW w:w="1247" w:type="dxa"/>
            <w:tcBorders>
              <w:top w:val="single" w:color="auto" w:sz="4" w:space="0"/>
              <w:left w:val="single" w:color="auto" w:sz="6" w:space="0"/>
              <w:bottom w:val="single" w:color="auto" w:sz="4" w:space="0"/>
              <w:right w:val="single" w:color="auto" w:sz="6" w:space="0"/>
            </w:tcBorders>
            <w:vAlign w:val="center"/>
          </w:tcPr>
          <w:p>
            <w:pPr>
              <w:jc w:val="center"/>
              <w:rPr>
                <w:rFonts w:ascii="宋体" w:hAnsi="宋体" w:cs="宋体"/>
                <w:sz w:val="24"/>
              </w:rPr>
            </w:pPr>
            <w:r>
              <w:rPr>
                <w:rFonts w:hint="eastAsia"/>
              </w:rPr>
              <w:t>4.58</w:t>
            </w:r>
          </w:p>
        </w:tc>
        <w:tc>
          <w:tcPr>
            <w:tcW w:w="1632"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w:t>
            </w:r>
          </w:p>
        </w:tc>
        <w:tc>
          <w:tcPr>
            <w:tcW w:w="1650" w:type="dxa"/>
            <w:tcBorders>
              <w:top w:val="single" w:color="auto" w:sz="4" w:space="0"/>
              <w:left w:val="single" w:color="auto" w:sz="6" w:space="0"/>
              <w:bottom w:val="single" w:color="auto" w:sz="4" w:space="0"/>
              <w:right w:val="single" w:color="auto" w:sz="4" w:space="0"/>
            </w:tcBorders>
            <w:vAlign w:val="center"/>
          </w:tcPr>
          <w:p>
            <w:pPr>
              <w:jc w:val="center"/>
              <w:rPr>
                <w:rFonts w:ascii="宋体" w:hAnsi="宋体" w:cs="宋体"/>
                <w:sz w:val="24"/>
              </w:rPr>
            </w:pPr>
            <w:r>
              <w:rPr>
                <w:rFonts w:hint="eastAsia"/>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restart"/>
            <w:tcBorders>
              <w:top w:val="single" w:color="auto" w:sz="6" w:space="0"/>
              <w:left w:val="single" w:color="auto" w:sz="4" w:space="0"/>
              <w:right w:val="single" w:color="auto" w:sz="6" w:space="0"/>
            </w:tcBorders>
            <w:vAlign w:val="center"/>
          </w:tcPr>
          <w:p>
            <w:pPr>
              <w:jc w:val="center"/>
              <w:rPr>
                <w:szCs w:val="21"/>
              </w:rPr>
            </w:pPr>
            <w:r>
              <w:rPr>
                <w:szCs w:val="21"/>
              </w:rPr>
              <w:t>专业</w:t>
            </w:r>
            <w:r>
              <w:rPr>
                <w:rFonts w:hint="eastAsia"/>
                <w:szCs w:val="21"/>
              </w:rPr>
              <w:t>教育</w:t>
            </w:r>
            <w:r>
              <w:rPr>
                <w:szCs w:val="21"/>
              </w:rPr>
              <w:t>平台</w:t>
            </w: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学科基础课</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szCs w:val="21"/>
              </w:rPr>
            </w:pPr>
            <w:r>
              <w:rPr>
                <w:rFonts w:hint="eastAsia"/>
                <w:szCs w:val="21"/>
              </w:rPr>
              <w:t>47</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cs="宋体"/>
                <w:sz w:val="24"/>
              </w:rPr>
            </w:pPr>
            <w:r>
              <w:rPr>
                <w:rFonts w:hint="eastAsia"/>
              </w:rPr>
              <w:t>26.93</w:t>
            </w:r>
          </w:p>
        </w:tc>
        <w:tc>
          <w:tcPr>
            <w:tcW w:w="1632" w:type="dxa"/>
            <w:tcBorders>
              <w:top w:val="single" w:color="auto" w:sz="6" w:space="0"/>
              <w:left w:val="single" w:color="auto" w:sz="6" w:space="0"/>
              <w:bottom w:val="single" w:color="auto" w:sz="4" w:space="0"/>
              <w:right w:val="single" w:color="auto" w:sz="6" w:space="0"/>
            </w:tcBorders>
            <w:vAlign w:val="center"/>
          </w:tcPr>
          <w:p>
            <w:pPr>
              <w:jc w:val="center"/>
              <w:rPr>
                <w:szCs w:val="21"/>
              </w:rPr>
            </w:pPr>
            <w:r>
              <w:rPr>
                <w:rFonts w:hint="eastAsia"/>
                <w:szCs w:val="21"/>
              </w:rPr>
              <w:t>2.5</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rFonts w:ascii="宋体" w:hAnsi="宋体" w:cs="宋体"/>
                <w:sz w:val="24"/>
              </w:rPr>
            </w:pPr>
            <w:r>
              <w:rPr>
                <w:rFonts w:hint="eastAsia"/>
              </w:rPr>
              <w:t>1.43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left w:val="single" w:color="auto" w:sz="4" w:space="0"/>
              <w:right w:val="single" w:color="auto" w:sz="6" w:space="0"/>
            </w:tcBorders>
            <w:vAlign w:val="center"/>
          </w:tcPr>
          <w:p>
            <w:pPr>
              <w:jc w:val="center"/>
              <w:rPr>
                <w:szCs w:val="21"/>
              </w:rPr>
            </w:pP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专业必修课</w:t>
            </w:r>
          </w:p>
        </w:tc>
        <w:tc>
          <w:tcPr>
            <w:tcW w:w="108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40</w:t>
            </w:r>
          </w:p>
        </w:tc>
        <w:tc>
          <w:tcPr>
            <w:tcW w:w="1247" w:type="dxa"/>
            <w:tcBorders>
              <w:top w:val="single" w:color="auto" w:sz="4" w:space="0"/>
              <w:left w:val="single" w:color="auto" w:sz="6" w:space="0"/>
              <w:bottom w:val="single" w:color="auto" w:sz="4" w:space="0"/>
              <w:right w:val="single" w:color="auto" w:sz="6" w:space="0"/>
            </w:tcBorders>
            <w:vAlign w:val="center"/>
          </w:tcPr>
          <w:p>
            <w:pPr>
              <w:jc w:val="center"/>
              <w:rPr>
                <w:rFonts w:ascii="宋体" w:hAnsi="宋体" w:cs="宋体"/>
                <w:sz w:val="24"/>
              </w:rPr>
            </w:pPr>
            <w:r>
              <w:rPr>
                <w:rFonts w:hint="eastAsia"/>
              </w:rPr>
              <w:t>22.92</w:t>
            </w:r>
          </w:p>
        </w:tc>
        <w:tc>
          <w:tcPr>
            <w:tcW w:w="1632"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10</w:t>
            </w:r>
          </w:p>
        </w:tc>
        <w:tc>
          <w:tcPr>
            <w:tcW w:w="1650" w:type="dxa"/>
            <w:tcBorders>
              <w:top w:val="single" w:color="auto" w:sz="4" w:space="0"/>
              <w:left w:val="single" w:color="auto" w:sz="6" w:space="0"/>
              <w:bottom w:val="single" w:color="auto" w:sz="4" w:space="0"/>
              <w:right w:val="single" w:color="auto" w:sz="4" w:space="0"/>
            </w:tcBorders>
            <w:vAlign w:val="center"/>
          </w:tcPr>
          <w:p>
            <w:pPr>
              <w:jc w:val="center"/>
              <w:rPr>
                <w:rFonts w:ascii="宋体" w:hAnsi="宋体" w:cs="宋体"/>
                <w:sz w:val="24"/>
              </w:rPr>
            </w:pPr>
            <w:r>
              <w:rPr>
                <w:rFonts w:hint="eastAsia"/>
              </w:rPr>
              <w:t>5.73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1590" w:type="dxa"/>
            <w:vMerge w:val="continue"/>
            <w:tcBorders>
              <w:left w:val="single" w:color="auto" w:sz="4" w:space="0"/>
              <w:bottom w:val="single" w:color="auto" w:sz="6" w:space="0"/>
              <w:right w:val="single" w:color="auto" w:sz="6" w:space="0"/>
            </w:tcBorders>
            <w:vAlign w:val="center"/>
          </w:tcPr>
          <w:p>
            <w:pPr>
              <w:jc w:val="center"/>
              <w:rPr>
                <w:szCs w:val="21"/>
              </w:rPr>
            </w:pPr>
          </w:p>
        </w:tc>
        <w:tc>
          <w:tcPr>
            <w:tcW w:w="158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专业选修课</w:t>
            </w:r>
          </w:p>
        </w:tc>
        <w:tc>
          <w:tcPr>
            <w:tcW w:w="1088" w:type="dxa"/>
            <w:tcBorders>
              <w:top w:val="single" w:color="auto" w:sz="4" w:space="0"/>
              <w:left w:val="single" w:color="auto" w:sz="6" w:space="0"/>
              <w:bottom w:val="single" w:color="auto" w:sz="6" w:space="0"/>
              <w:right w:val="single" w:color="auto" w:sz="6" w:space="0"/>
            </w:tcBorders>
            <w:vAlign w:val="center"/>
          </w:tcPr>
          <w:p>
            <w:pPr>
              <w:jc w:val="center"/>
              <w:rPr>
                <w:szCs w:val="21"/>
              </w:rPr>
            </w:pPr>
            <w:r>
              <w:rPr>
                <w:rFonts w:hint="eastAsia"/>
                <w:szCs w:val="21"/>
              </w:rPr>
              <w:t>8</w:t>
            </w:r>
          </w:p>
        </w:tc>
        <w:tc>
          <w:tcPr>
            <w:tcW w:w="1247" w:type="dxa"/>
            <w:tcBorders>
              <w:top w:val="single" w:color="auto" w:sz="4" w:space="0"/>
              <w:left w:val="single" w:color="auto" w:sz="6" w:space="0"/>
              <w:bottom w:val="single" w:color="auto" w:sz="6" w:space="0"/>
              <w:right w:val="single" w:color="auto" w:sz="6" w:space="0"/>
            </w:tcBorders>
            <w:vAlign w:val="center"/>
          </w:tcPr>
          <w:p>
            <w:pPr>
              <w:jc w:val="center"/>
              <w:rPr>
                <w:rFonts w:ascii="宋体" w:hAnsi="宋体" w:cs="宋体"/>
                <w:sz w:val="24"/>
              </w:rPr>
            </w:pPr>
            <w:r>
              <w:rPr>
                <w:rFonts w:hint="eastAsia"/>
              </w:rPr>
              <w:t>4.58</w:t>
            </w:r>
          </w:p>
        </w:tc>
        <w:tc>
          <w:tcPr>
            <w:tcW w:w="1632" w:type="dxa"/>
            <w:tcBorders>
              <w:top w:val="single" w:color="auto" w:sz="4" w:space="0"/>
              <w:left w:val="single" w:color="auto" w:sz="6" w:space="0"/>
              <w:bottom w:val="single" w:color="auto" w:sz="6" w:space="0"/>
              <w:right w:val="single" w:color="auto" w:sz="6" w:space="0"/>
            </w:tcBorders>
          </w:tcPr>
          <w:p>
            <w:pPr>
              <w:jc w:val="center"/>
              <w:rPr>
                <w:color w:val="000000"/>
                <w:szCs w:val="21"/>
              </w:rPr>
            </w:pPr>
            <w:r>
              <w:rPr>
                <w:rFonts w:hint="eastAsia"/>
                <w:color w:val="000000"/>
                <w:szCs w:val="21"/>
              </w:rPr>
              <w:t>-</w:t>
            </w:r>
          </w:p>
        </w:tc>
        <w:tc>
          <w:tcPr>
            <w:tcW w:w="1650" w:type="dxa"/>
            <w:tcBorders>
              <w:top w:val="single" w:color="auto" w:sz="4" w:space="0"/>
              <w:left w:val="single" w:color="auto" w:sz="6" w:space="0"/>
              <w:bottom w:val="single" w:color="auto" w:sz="6" w:space="0"/>
              <w:right w:val="single" w:color="auto" w:sz="4" w:space="0"/>
            </w:tcBorders>
            <w:vAlign w:val="center"/>
          </w:tcPr>
          <w:p>
            <w:pPr>
              <w:jc w:val="center"/>
              <w:rPr>
                <w:rFonts w:ascii="宋体" w:hAnsi="宋体" w:cs="宋体"/>
                <w:sz w:val="24"/>
              </w:rPr>
            </w:pPr>
            <w:r>
              <w:rPr>
                <w:rFonts w:hint="eastAsia"/>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6" w:space="0"/>
              <w:left w:val="single" w:color="auto" w:sz="4" w:space="0"/>
              <w:bottom w:val="single" w:color="auto" w:sz="6" w:space="0"/>
              <w:right w:val="single" w:color="auto" w:sz="6" w:space="0"/>
            </w:tcBorders>
            <w:vAlign w:val="center"/>
          </w:tcPr>
          <w:p>
            <w:pPr>
              <w:jc w:val="center"/>
              <w:rPr>
                <w:szCs w:val="21"/>
              </w:rPr>
            </w:pPr>
            <w:r>
              <w:rPr>
                <w:szCs w:val="21"/>
              </w:rPr>
              <w:t>实践</w:t>
            </w:r>
            <w:r>
              <w:rPr>
                <w:rFonts w:hint="eastAsia"/>
                <w:szCs w:val="21"/>
              </w:rPr>
              <w:t>教育</w:t>
            </w:r>
            <w:r>
              <w:rPr>
                <w:szCs w:val="21"/>
              </w:rPr>
              <w:t>平台</w:t>
            </w:r>
          </w:p>
        </w:tc>
        <w:tc>
          <w:tcPr>
            <w:tcW w:w="1088"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rFonts w:hint="eastAsia"/>
                <w:szCs w:val="21"/>
              </w:rPr>
              <w:t>26</w:t>
            </w:r>
          </w:p>
        </w:tc>
        <w:tc>
          <w:tcPr>
            <w:tcW w:w="1247"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rFonts w:hint="eastAsia"/>
                <w:szCs w:val="21"/>
              </w:rPr>
              <w:t>14.90</w:t>
            </w:r>
          </w:p>
        </w:tc>
        <w:tc>
          <w:tcPr>
            <w:tcW w:w="163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s="宋体"/>
                <w:sz w:val="24"/>
              </w:rPr>
            </w:pPr>
            <w:r>
              <w:rPr>
                <w:rFonts w:hint="eastAsia"/>
              </w:rPr>
              <w:t>26</w:t>
            </w:r>
          </w:p>
        </w:tc>
        <w:tc>
          <w:tcPr>
            <w:tcW w:w="1650" w:type="dxa"/>
            <w:tcBorders>
              <w:top w:val="single" w:color="auto" w:sz="6" w:space="0"/>
              <w:left w:val="single" w:color="auto" w:sz="6" w:space="0"/>
              <w:bottom w:val="single" w:color="auto" w:sz="6" w:space="0"/>
              <w:right w:val="single" w:color="auto" w:sz="4" w:space="0"/>
            </w:tcBorders>
            <w:vAlign w:val="center"/>
          </w:tcPr>
          <w:p>
            <w:pPr>
              <w:jc w:val="center"/>
              <w:rPr>
                <w:color w:val="000000"/>
                <w:szCs w:val="21"/>
              </w:rPr>
            </w:pPr>
            <w:r>
              <w:rPr>
                <w:rFonts w:hint="eastAsia"/>
                <w:color w:val="000000"/>
                <w:szCs w:val="21"/>
              </w:rPr>
              <w:t>14.90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jc w:val="center"/>
        </w:trPr>
        <w:tc>
          <w:tcPr>
            <w:tcW w:w="3170" w:type="dxa"/>
            <w:gridSpan w:val="2"/>
            <w:tcBorders>
              <w:top w:val="single" w:color="auto" w:sz="6" w:space="0"/>
              <w:left w:val="single" w:color="auto" w:sz="4" w:space="0"/>
              <w:bottom w:val="single" w:color="auto" w:sz="4" w:space="0"/>
              <w:right w:val="single" w:color="auto" w:sz="6" w:space="0"/>
            </w:tcBorders>
            <w:vAlign w:val="center"/>
          </w:tcPr>
          <w:p>
            <w:pPr>
              <w:jc w:val="center"/>
              <w:rPr>
                <w:szCs w:val="21"/>
              </w:rPr>
            </w:pPr>
            <w:r>
              <w:rPr>
                <w:szCs w:val="21"/>
              </w:rPr>
              <w:t>合    计</w:t>
            </w:r>
          </w:p>
        </w:tc>
        <w:tc>
          <w:tcPr>
            <w:tcW w:w="1088" w:type="dxa"/>
            <w:tcBorders>
              <w:top w:val="single" w:color="auto" w:sz="6" w:space="0"/>
              <w:left w:val="single" w:color="auto" w:sz="6" w:space="0"/>
              <w:bottom w:val="single" w:color="auto" w:sz="4" w:space="0"/>
              <w:right w:val="single" w:color="auto" w:sz="6" w:space="0"/>
            </w:tcBorders>
            <w:vAlign w:val="center"/>
          </w:tcPr>
          <w:p>
            <w:pPr>
              <w:jc w:val="center"/>
              <w:rPr>
                <w:szCs w:val="21"/>
              </w:rPr>
            </w:pPr>
            <w:r>
              <w:rPr>
                <w:rFonts w:hint="eastAsia"/>
                <w:szCs w:val="21"/>
              </w:rPr>
              <w:t>174.5</w:t>
            </w:r>
          </w:p>
        </w:tc>
        <w:tc>
          <w:tcPr>
            <w:tcW w:w="1247" w:type="dxa"/>
            <w:tcBorders>
              <w:top w:val="single" w:color="auto" w:sz="6" w:space="0"/>
              <w:left w:val="single" w:color="auto" w:sz="6" w:space="0"/>
              <w:bottom w:val="single" w:color="auto" w:sz="4" w:space="0"/>
              <w:right w:val="single" w:color="auto" w:sz="6" w:space="0"/>
            </w:tcBorders>
            <w:vAlign w:val="center"/>
          </w:tcPr>
          <w:p>
            <w:pPr>
              <w:jc w:val="center"/>
              <w:rPr>
                <w:szCs w:val="21"/>
              </w:rPr>
            </w:pPr>
            <w:r>
              <w:rPr>
                <w:rFonts w:hint="eastAsia"/>
                <w:szCs w:val="21"/>
              </w:rPr>
              <w:t>100</w:t>
            </w:r>
          </w:p>
        </w:tc>
        <w:tc>
          <w:tcPr>
            <w:tcW w:w="1632"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cs="宋体"/>
                <w:sz w:val="24"/>
              </w:rPr>
            </w:pPr>
            <w:r>
              <w:rPr>
                <w:rFonts w:hint="eastAsia"/>
              </w:rPr>
              <w:t>47.5</w:t>
            </w:r>
          </w:p>
        </w:tc>
        <w:tc>
          <w:tcPr>
            <w:tcW w:w="1650" w:type="dxa"/>
            <w:tcBorders>
              <w:top w:val="single" w:color="auto" w:sz="6" w:space="0"/>
              <w:left w:val="single" w:color="auto" w:sz="6" w:space="0"/>
              <w:bottom w:val="single" w:color="auto" w:sz="4" w:space="0"/>
              <w:right w:val="single" w:color="auto" w:sz="4" w:space="0"/>
            </w:tcBorders>
            <w:vAlign w:val="center"/>
          </w:tcPr>
          <w:p>
            <w:pPr>
              <w:jc w:val="center"/>
              <w:rPr>
                <w:color w:val="000000"/>
                <w:szCs w:val="21"/>
              </w:rPr>
            </w:pPr>
            <w:r>
              <w:rPr>
                <w:rFonts w:hint="eastAsia"/>
                <w:color w:val="000000"/>
                <w:szCs w:val="21"/>
              </w:rPr>
              <w:t>27.22</w:t>
            </w:r>
          </w:p>
        </w:tc>
      </w:tr>
    </w:tbl>
    <w:p>
      <w:pPr>
        <w:spacing w:before="312" w:beforeLines="100" w:after="156" w:afterLines="50" w:line="400" w:lineRule="exact"/>
        <w:jc w:val="center"/>
        <w:rPr>
          <w:sz w:val="24"/>
          <w:szCs w:val="24"/>
        </w:rPr>
      </w:pPr>
    </w:p>
    <w:p>
      <w:pPr>
        <w:spacing w:before="312" w:beforeLines="100" w:after="156" w:afterLines="50" w:line="400" w:lineRule="exact"/>
        <w:jc w:val="center"/>
        <w:rPr>
          <w:b/>
          <w:sz w:val="24"/>
          <w:szCs w:val="24"/>
        </w:rPr>
      </w:pPr>
      <w:r>
        <w:rPr>
          <w:rFonts w:hint="eastAsia"/>
          <w:b/>
          <w:sz w:val="24"/>
          <w:szCs w:val="24"/>
        </w:rPr>
        <w:t>高分子材料与工程专业按学期教学情况汇总表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8"/>
        <w:gridCol w:w="878"/>
        <w:gridCol w:w="877"/>
        <w:gridCol w:w="877"/>
        <w:gridCol w:w="878"/>
        <w:gridCol w:w="877"/>
        <w:gridCol w:w="877"/>
        <w:gridCol w:w="878"/>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学期</w:t>
            </w:r>
          </w:p>
        </w:tc>
        <w:tc>
          <w:tcPr>
            <w:tcW w:w="878" w:type="dxa"/>
            <w:vAlign w:val="center"/>
          </w:tcPr>
          <w:p>
            <w:pPr>
              <w:spacing w:line="400" w:lineRule="exact"/>
              <w:jc w:val="center"/>
              <w:rPr>
                <w:szCs w:val="21"/>
              </w:rPr>
            </w:pPr>
            <w:r>
              <w:rPr>
                <w:szCs w:val="21"/>
              </w:rPr>
              <w:t>一</w:t>
            </w:r>
          </w:p>
        </w:tc>
        <w:tc>
          <w:tcPr>
            <w:tcW w:w="877" w:type="dxa"/>
            <w:vAlign w:val="center"/>
          </w:tcPr>
          <w:p>
            <w:pPr>
              <w:spacing w:line="400" w:lineRule="exact"/>
              <w:jc w:val="center"/>
              <w:rPr>
                <w:szCs w:val="21"/>
              </w:rPr>
            </w:pPr>
            <w:r>
              <w:rPr>
                <w:szCs w:val="21"/>
              </w:rPr>
              <w:t>二</w:t>
            </w:r>
          </w:p>
        </w:tc>
        <w:tc>
          <w:tcPr>
            <w:tcW w:w="877" w:type="dxa"/>
            <w:vAlign w:val="center"/>
          </w:tcPr>
          <w:p>
            <w:pPr>
              <w:spacing w:line="400" w:lineRule="exact"/>
              <w:jc w:val="center"/>
              <w:rPr>
                <w:szCs w:val="21"/>
              </w:rPr>
            </w:pPr>
            <w:r>
              <w:rPr>
                <w:szCs w:val="21"/>
              </w:rPr>
              <w:t>三</w:t>
            </w:r>
          </w:p>
        </w:tc>
        <w:tc>
          <w:tcPr>
            <w:tcW w:w="878" w:type="dxa"/>
            <w:vAlign w:val="center"/>
          </w:tcPr>
          <w:p>
            <w:pPr>
              <w:spacing w:line="400" w:lineRule="exact"/>
              <w:jc w:val="center"/>
              <w:rPr>
                <w:szCs w:val="21"/>
              </w:rPr>
            </w:pPr>
            <w:r>
              <w:rPr>
                <w:szCs w:val="21"/>
              </w:rPr>
              <w:t>四</w:t>
            </w:r>
          </w:p>
        </w:tc>
        <w:tc>
          <w:tcPr>
            <w:tcW w:w="877" w:type="dxa"/>
            <w:vAlign w:val="center"/>
          </w:tcPr>
          <w:p>
            <w:pPr>
              <w:spacing w:line="400" w:lineRule="exact"/>
              <w:jc w:val="center"/>
              <w:rPr>
                <w:szCs w:val="21"/>
              </w:rPr>
            </w:pPr>
            <w:r>
              <w:rPr>
                <w:szCs w:val="21"/>
              </w:rPr>
              <w:t>五</w:t>
            </w:r>
          </w:p>
        </w:tc>
        <w:tc>
          <w:tcPr>
            <w:tcW w:w="877" w:type="dxa"/>
            <w:vAlign w:val="center"/>
          </w:tcPr>
          <w:p>
            <w:pPr>
              <w:spacing w:line="400" w:lineRule="exact"/>
              <w:jc w:val="center"/>
              <w:rPr>
                <w:szCs w:val="21"/>
              </w:rPr>
            </w:pPr>
            <w:r>
              <w:rPr>
                <w:szCs w:val="21"/>
              </w:rPr>
              <w:t>六</w:t>
            </w:r>
          </w:p>
        </w:tc>
        <w:tc>
          <w:tcPr>
            <w:tcW w:w="878" w:type="dxa"/>
            <w:vAlign w:val="center"/>
          </w:tcPr>
          <w:p>
            <w:pPr>
              <w:spacing w:line="400" w:lineRule="exact"/>
              <w:jc w:val="center"/>
              <w:rPr>
                <w:szCs w:val="21"/>
              </w:rPr>
            </w:pPr>
            <w:r>
              <w:rPr>
                <w:szCs w:val="21"/>
              </w:rPr>
              <w:t>七</w:t>
            </w:r>
          </w:p>
        </w:tc>
        <w:tc>
          <w:tcPr>
            <w:tcW w:w="877" w:type="dxa"/>
            <w:vAlign w:val="center"/>
          </w:tcPr>
          <w:p>
            <w:pPr>
              <w:spacing w:line="400" w:lineRule="exact"/>
              <w:jc w:val="center"/>
              <w:rPr>
                <w:szCs w:val="21"/>
              </w:rPr>
            </w:pPr>
            <w:r>
              <w:rPr>
                <w:szCs w:val="21"/>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教学总周数</w:t>
            </w:r>
          </w:p>
        </w:tc>
        <w:tc>
          <w:tcPr>
            <w:tcW w:w="878" w:type="dxa"/>
            <w:vAlign w:val="center"/>
          </w:tcPr>
          <w:p>
            <w:pPr>
              <w:spacing w:line="400" w:lineRule="exact"/>
              <w:jc w:val="center"/>
              <w:rPr>
                <w:szCs w:val="21"/>
              </w:rPr>
            </w:pPr>
            <w:r>
              <w:rPr>
                <w:rFonts w:hint="eastAsia"/>
                <w:szCs w:val="21"/>
              </w:rPr>
              <w:t>19</w:t>
            </w:r>
          </w:p>
        </w:tc>
        <w:tc>
          <w:tcPr>
            <w:tcW w:w="877" w:type="dxa"/>
            <w:vAlign w:val="center"/>
          </w:tcPr>
          <w:p>
            <w:pPr>
              <w:spacing w:line="400" w:lineRule="exact"/>
              <w:jc w:val="center"/>
              <w:rPr>
                <w:szCs w:val="21"/>
              </w:rPr>
            </w:pPr>
            <w:r>
              <w:rPr>
                <w:rFonts w:hint="eastAsia"/>
                <w:szCs w:val="21"/>
              </w:rPr>
              <w:t>19</w:t>
            </w:r>
          </w:p>
        </w:tc>
        <w:tc>
          <w:tcPr>
            <w:tcW w:w="877" w:type="dxa"/>
            <w:vAlign w:val="center"/>
          </w:tcPr>
          <w:p>
            <w:pPr>
              <w:spacing w:line="400" w:lineRule="exact"/>
              <w:jc w:val="center"/>
              <w:rPr>
                <w:szCs w:val="21"/>
              </w:rPr>
            </w:pPr>
            <w:r>
              <w:rPr>
                <w:rFonts w:hint="eastAsia"/>
                <w:szCs w:val="21"/>
              </w:rPr>
              <w:t>19</w:t>
            </w:r>
          </w:p>
        </w:tc>
        <w:tc>
          <w:tcPr>
            <w:tcW w:w="878" w:type="dxa"/>
            <w:vAlign w:val="center"/>
          </w:tcPr>
          <w:p>
            <w:pPr>
              <w:spacing w:line="400" w:lineRule="exact"/>
              <w:jc w:val="center"/>
              <w:rPr>
                <w:szCs w:val="21"/>
              </w:rPr>
            </w:pPr>
            <w:r>
              <w:rPr>
                <w:rFonts w:hint="eastAsia"/>
                <w:szCs w:val="21"/>
              </w:rPr>
              <w:t>19</w:t>
            </w:r>
          </w:p>
        </w:tc>
        <w:tc>
          <w:tcPr>
            <w:tcW w:w="877" w:type="dxa"/>
            <w:vAlign w:val="center"/>
          </w:tcPr>
          <w:p>
            <w:pPr>
              <w:spacing w:line="400" w:lineRule="exact"/>
              <w:jc w:val="center"/>
              <w:rPr>
                <w:szCs w:val="21"/>
              </w:rPr>
            </w:pPr>
            <w:r>
              <w:rPr>
                <w:rFonts w:hint="eastAsia"/>
                <w:szCs w:val="21"/>
              </w:rPr>
              <w:t>19</w:t>
            </w:r>
          </w:p>
        </w:tc>
        <w:tc>
          <w:tcPr>
            <w:tcW w:w="877" w:type="dxa"/>
            <w:vAlign w:val="center"/>
          </w:tcPr>
          <w:p>
            <w:pPr>
              <w:spacing w:line="400" w:lineRule="exact"/>
              <w:jc w:val="center"/>
              <w:rPr>
                <w:szCs w:val="21"/>
              </w:rPr>
            </w:pPr>
            <w:r>
              <w:rPr>
                <w:rFonts w:hint="eastAsia"/>
                <w:szCs w:val="21"/>
              </w:rPr>
              <w:t>19</w:t>
            </w:r>
          </w:p>
        </w:tc>
        <w:tc>
          <w:tcPr>
            <w:tcW w:w="878" w:type="dxa"/>
            <w:vAlign w:val="center"/>
          </w:tcPr>
          <w:p>
            <w:pPr>
              <w:spacing w:line="400" w:lineRule="exact"/>
              <w:jc w:val="center"/>
              <w:rPr>
                <w:szCs w:val="21"/>
              </w:rPr>
            </w:pPr>
            <w:r>
              <w:rPr>
                <w:rFonts w:hint="eastAsia"/>
                <w:szCs w:val="21"/>
              </w:rPr>
              <w:t>19</w:t>
            </w:r>
          </w:p>
        </w:tc>
        <w:tc>
          <w:tcPr>
            <w:tcW w:w="877" w:type="dxa"/>
            <w:vAlign w:val="center"/>
          </w:tcPr>
          <w:p>
            <w:pPr>
              <w:spacing w:line="400" w:lineRule="exact"/>
              <w:jc w:val="center"/>
              <w:rPr>
                <w:szCs w:val="21"/>
              </w:rPr>
            </w:pPr>
            <w:r>
              <w:rPr>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节假日及考试</w:t>
            </w:r>
          </w:p>
        </w:tc>
        <w:tc>
          <w:tcPr>
            <w:tcW w:w="878" w:type="dxa"/>
            <w:vAlign w:val="center"/>
          </w:tcPr>
          <w:p>
            <w:pPr>
              <w:spacing w:line="400" w:lineRule="exact"/>
              <w:jc w:val="center"/>
              <w:rPr>
                <w:szCs w:val="21"/>
              </w:rPr>
            </w:pPr>
            <w:r>
              <w:rPr>
                <w:rFonts w:hint="eastAsia"/>
                <w:szCs w:val="21"/>
              </w:rPr>
              <w:t>2</w:t>
            </w:r>
          </w:p>
        </w:tc>
        <w:tc>
          <w:tcPr>
            <w:tcW w:w="877" w:type="dxa"/>
            <w:vAlign w:val="center"/>
          </w:tcPr>
          <w:p>
            <w:pPr>
              <w:spacing w:line="400" w:lineRule="exact"/>
              <w:jc w:val="center"/>
              <w:rPr>
                <w:szCs w:val="21"/>
              </w:rPr>
            </w:pPr>
            <w:r>
              <w:rPr>
                <w:rFonts w:hint="eastAsia"/>
                <w:szCs w:val="21"/>
              </w:rPr>
              <w:t>2</w:t>
            </w:r>
          </w:p>
        </w:tc>
        <w:tc>
          <w:tcPr>
            <w:tcW w:w="877" w:type="dxa"/>
            <w:vAlign w:val="center"/>
          </w:tcPr>
          <w:p>
            <w:pPr>
              <w:spacing w:line="400" w:lineRule="exact"/>
              <w:jc w:val="center"/>
              <w:rPr>
                <w:szCs w:val="21"/>
              </w:rPr>
            </w:pPr>
            <w:r>
              <w:rPr>
                <w:rFonts w:hint="eastAsia"/>
                <w:szCs w:val="21"/>
              </w:rPr>
              <w:t>2</w:t>
            </w:r>
          </w:p>
        </w:tc>
        <w:tc>
          <w:tcPr>
            <w:tcW w:w="878" w:type="dxa"/>
            <w:vAlign w:val="center"/>
          </w:tcPr>
          <w:p>
            <w:pPr>
              <w:spacing w:line="400" w:lineRule="exact"/>
              <w:jc w:val="center"/>
              <w:rPr>
                <w:szCs w:val="21"/>
              </w:rPr>
            </w:pPr>
            <w:r>
              <w:rPr>
                <w:rFonts w:hint="eastAsia"/>
                <w:szCs w:val="21"/>
              </w:rPr>
              <w:t>2</w:t>
            </w:r>
          </w:p>
        </w:tc>
        <w:tc>
          <w:tcPr>
            <w:tcW w:w="877" w:type="dxa"/>
            <w:vAlign w:val="center"/>
          </w:tcPr>
          <w:p>
            <w:pPr>
              <w:spacing w:line="400" w:lineRule="exact"/>
              <w:jc w:val="center"/>
              <w:rPr>
                <w:szCs w:val="21"/>
              </w:rPr>
            </w:pPr>
            <w:r>
              <w:rPr>
                <w:rFonts w:hint="eastAsia"/>
                <w:szCs w:val="21"/>
              </w:rPr>
              <w:t>2</w:t>
            </w:r>
          </w:p>
        </w:tc>
        <w:tc>
          <w:tcPr>
            <w:tcW w:w="877" w:type="dxa"/>
            <w:vAlign w:val="center"/>
          </w:tcPr>
          <w:p>
            <w:pPr>
              <w:spacing w:line="400" w:lineRule="exact"/>
              <w:jc w:val="center"/>
              <w:rPr>
                <w:szCs w:val="21"/>
              </w:rPr>
            </w:pPr>
            <w:r>
              <w:rPr>
                <w:rFonts w:hint="eastAsia"/>
                <w:szCs w:val="21"/>
              </w:rPr>
              <w:t>2</w:t>
            </w:r>
          </w:p>
        </w:tc>
        <w:tc>
          <w:tcPr>
            <w:tcW w:w="878" w:type="dxa"/>
            <w:vAlign w:val="center"/>
          </w:tcPr>
          <w:p>
            <w:pPr>
              <w:spacing w:line="400" w:lineRule="exact"/>
              <w:jc w:val="center"/>
              <w:rPr>
                <w:szCs w:val="21"/>
              </w:rPr>
            </w:pPr>
            <w:r>
              <w:rPr>
                <w:rFonts w:hint="eastAsia"/>
                <w:szCs w:val="21"/>
              </w:rPr>
              <w:t>2</w:t>
            </w:r>
          </w:p>
        </w:tc>
        <w:tc>
          <w:tcPr>
            <w:tcW w:w="877" w:type="dxa"/>
            <w:vAlign w:val="center"/>
          </w:tcPr>
          <w:p>
            <w:pPr>
              <w:spacing w:line="400" w:lineRule="exact"/>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集中实践周数</w:t>
            </w:r>
          </w:p>
        </w:tc>
        <w:tc>
          <w:tcPr>
            <w:tcW w:w="878" w:type="dxa"/>
            <w:vAlign w:val="center"/>
          </w:tcPr>
          <w:p>
            <w:pPr>
              <w:spacing w:line="400" w:lineRule="exact"/>
              <w:jc w:val="center"/>
              <w:rPr>
                <w:szCs w:val="21"/>
              </w:rPr>
            </w:pPr>
            <w:r>
              <w:rPr>
                <w:rFonts w:hint="eastAsia"/>
                <w:szCs w:val="21"/>
              </w:rPr>
              <w:t>2</w:t>
            </w:r>
          </w:p>
        </w:tc>
        <w:tc>
          <w:tcPr>
            <w:tcW w:w="877" w:type="dxa"/>
            <w:vAlign w:val="center"/>
          </w:tcPr>
          <w:p>
            <w:pPr>
              <w:spacing w:line="400" w:lineRule="exact"/>
              <w:jc w:val="center"/>
              <w:rPr>
                <w:szCs w:val="21"/>
              </w:rPr>
            </w:pPr>
            <w:r>
              <w:rPr>
                <w:rFonts w:hint="eastAsia"/>
                <w:szCs w:val="21"/>
              </w:rPr>
              <w:t>0</w:t>
            </w:r>
          </w:p>
        </w:tc>
        <w:tc>
          <w:tcPr>
            <w:tcW w:w="877" w:type="dxa"/>
            <w:vAlign w:val="center"/>
          </w:tcPr>
          <w:p>
            <w:pPr>
              <w:spacing w:line="400" w:lineRule="exact"/>
              <w:jc w:val="center"/>
              <w:rPr>
                <w:szCs w:val="21"/>
              </w:rPr>
            </w:pPr>
            <w:r>
              <w:rPr>
                <w:rFonts w:hint="eastAsia"/>
                <w:szCs w:val="21"/>
              </w:rPr>
              <w:t>0</w:t>
            </w:r>
          </w:p>
        </w:tc>
        <w:tc>
          <w:tcPr>
            <w:tcW w:w="878" w:type="dxa"/>
            <w:vAlign w:val="center"/>
          </w:tcPr>
          <w:p>
            <w:pPr>
              <w:spacing w:line="400" w:lineRule="exact"/>
              <w:jc w:val="center"/>
              <w:rPr>
                <w:szCs w:val="21"/>
              </w:rPr>
            </w:pPr>
            <w:r>
              <w:rPr>
                <w:rFonts w:hint="eastAsia"/>
                <w:szCs w:val="21"/>
              </w:rPr>
              <w:t>1</w:t>
            </w:r>
          </w:p>
        </w:tc>
        <w:tc>
          <w:tcPr>
            <w:tcW w:w="877" w:type="dxa"/>
            <w:vAlign w:val="center"/>
          </w:tcPr>
          <w:p>
            <w:pPr>
              <w:spacing w:line="400" w:lineRule="exact"/>
              <w:jc w:val="center"/>
              <w:rPr>
                <w:szCs w:val="21"/>
              </w:rPr>
            </w:pPr>
            <w:r>
              <w:rPr>
                <w:rFonts w:hint="eastAsia"/>
                <w:szCs w:val="21"/>
              </w:rPr>
              <w:t>2</w:t>
            </w:r>
          </w:p>
        </w:tc>
        <w:tc>
          <w:tcPr>
            <w:tcW w:w="877" w:type="dxa"/>
            <w:vAlign w:val="center"/>
          </w:tcPr>
          <w:p>
            <w:pPr>
              <w:spacing w:line="400" w:lineRule="exact"/>
              <w:jc w:val="center"/>
              <w:rPr>
                <w:szCs w:val="21"/>
              </w:rPr>
            </w:pPr>
            <w:r>
              <w:rPr>
                <w:rFonts w:hint="eastAsia"/>
                <w:szCs w:val="21"/>
              </w:rPr>
              <w:t>2</w:t>
            </w:r>
          </w:p>
        </w:tc>
        <w:tc>
          <w:tcPr>
            <w:tcW w:w="878" w:type="dxa"/>
            <w:vAlign w:val="center"/>
          </w:tcPr>
          <w:p>
            <w:pPr>
              <w:spacing w:line="400" w:lineRule="exact"/>
              <w:jc w:val="center"/>
              <w:rPr>
                <w:szCs w:val="21"/>
              </w:rPr>
            </w:pPr>
            <w:r>
              <w:rPr>
                <w:rFonts w:hint="eastAsia"/>
                <w:szCs w:val="21"/>
              </w:rPr>
              <w:t>6</w:t>
            </w:r>
          </w:p>
        </w:tc>
        <w:tc>
          <w:tcPr>
            <w:tcW w:w="877" w:type="dxa"/>
            <w:vAlign w:val="center"/>
          </w:tcPr>
          <w:p>
            <w:pPr>
              <w:spacing w:line="400" w:lineRule="exact"/>
              <w:jc w:val="center"/>
              <w:rPr>
                <w:szCs w:val="21"/>
              </w:rPr>
            </w:pPr>
            <w:r>
              <w:rPr>
                <w:rFonts w:hint="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课内教学周数</w:t>
            </w:r>
          </w:p>
        </w:tc>
        <w:tc>
          <w:tcPr>
            <w:tcW w:w="878" w:type="dxa"/>
            <w:vAlign w:val="center"/>
          </w:tcPr>
          <w:p>
            <w:pPr>
              <w:spacing w:line="400" w:lineRule="exact"/>
              <w:jc w:val="center"/>
              <w:rPr>
                <w:szCs w:val="21"/>
              </w:rPr>
            </w:pPr>
            <w:r>
              <w:rPr>
                <w:rFonts w:hint="eastAsia"/>
                <w:szCs w:val="21"/>
              </w:rPr>
              <w:t>16</w:t>
            </w:r>
          </w:p>
        </w:tc>
        <w:tc>
          <w:tcPr>
            <w:tcW w:w="877" w:type="dxa"/>
            <w:vAlign w:val="center"/>
          </w:tcPr>
          <w:p>
            <w:pPr>
              <w:spacing w:line="400" w:lineRule="exact"/>
              <w:jc w:val="center"/>
              <w:rPr>
                <w:szCs w:val="21"/>
              </w:rPr>
            </w:pPr>
            <w:r>
              <w:rPr>
                <w:rFonts w:hint="eastAsia"/>
                <w:szCs w:val="21"/>
              </w:rPr>
              <w:t>16</w:t>
            </w:r>
          </w:p>
        </w:tc>
        <w:tc>
          <w:tcPr>
            <w:tcW w:w="877" w:type="dxa"/>
            <w:vAlign w:val="center"/>
          </w:tcPr>
          <w:p>
            <w:pPr>
              <w:spacing w:line="400" w:lineRule="exact"/>
              <w:jc w:val="center"/>
              <w:rPr>
                <w:szCs w:val="21"/>
              </w:rPr>
            </w:pPr>
            <w:r>
              <w:rPr>
                <w:rFonts w:hint="eastAsia"/>
                <w:szCs w:val="21"/>
              </w:rPr>
              <w:t>16</w:t>
            </w:r>
          </w:p>
        </w:tc>
        <w:tc>
          <w:tcPr>
            <w:tcW w:w="878" w:type="dxa"/>
            <w:vAlign w:val="center"/>
          </w:tcPr>
          <w:p>
            <w:pPr>
              <w:spacing w:line="400" w:lineRule="exact"/>
              <w:jc w:val="center"/>
              <w:rPr>
                <w:szCs w:val="21"/>
              </w:rPr>
            </w:pPr>
            <w:r>
              <w:rPr>
                <w:rFonts w:hint="eastAsia"/>
                <w:szCs w:val="21"/>
              </w:rPr>
              <w:t>16</w:t>
            </w:r>
          </w:p>
        </w:tc>
        <w:tc>
          <w:tcPr>
            <w:tcW w:w="877" w:type="dxa"/>
            <w:vAlign w:val="center"/>
          </w:tcPr>
          <w:p>
            <w:pPr>
              <w:spacing w:line="400" w:lineRule="exact"/>
              <w:jc w:val="center"/>
              <w:rPr>
                <w:szCs w:val="21"/>
              </w:rPr>
            </w:pPr>
            <w:r>
              <w:rPr>
                <w:rFonts w:hint="eastAsia"/>
                <w:szCs w:val="21"/>
              </w:rPr>
              <w:t>16</w:t>
            </w:r>
          </w:p>
        </w:tc>
        <w:tc>
          <w:tcPr>
            <w:tcW w:w="877" w:type="dxa"/>
            <w:vAlign w:val="center"/>
          </w:tcPr>
          <w:p>
            <w:pPr>
              <w:spacing w:line="400" w:lineRule="exact"/>
              <w:jc w:val="center"/>
              <w:rPr>
                <w:szCs w:val="21"/>
              </w:rPr>
            </w:pPr>
            <w:r>
              <w:rPr>
                <w:rFonts w:hint="eastAsia"/>
                <w:szCs w:val="21"/>
              </w:rPr>
              <w:t>16</w:t>
            </w:r>
          </w:p>
        </w:tc>
        <w:tc>
          <w:tcPr>
            <w:tcW w:w="878" w:type="dxa"/>
            <w:vAlign w:val="center"/>
          </w:tcPr>
          <w:p>
            <w:pPr>
              <w:spacing w:line="400" w:lineRule="exact"/>
              <w:jc w:val="center"/>
              <w:rPr>
                <w:szCs w:val="21"/>
              </w:rPr>
            </w:pPr>
            <w:r>
              <w:rPr>
                <w:rFonts w:hint="eastAsia"/>
                <w:szCs w:val="21"/>
              </w:rPr>
              <w:t>8</w:t>
            </w:r>
          </w:p>
        </w:tc>
        <w:tc>
          <w:tcPr>
            <w:tcW w:w="877" w:type="dxa"/>
            <w:vAlign w:val="center"/>
          </w:tcPr>
          <w:p>
            <w:pPr>
              <w:spacing w:line="400" w:lineRule="exact"/>
              <w:jc w:val="center"/>
              <w:rPr>
                <w:szCs w:val="21"/>
              </w:rPr>
            </w:pPr>
            <w:r>
              <w:rPr>
                <w:rFonts w:hint="eastAsia"/>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理论教学学分</w:t>
            </w:r>
          </w:p>
        </w:tc>
        <w:tc>
          <w:tcPr>
            <w:tcW w:w="878" w:type="dxa"/>
            <w:vAlign w:val="center"/>
          </w:tcPr>
          <w:p>
            <w:pPr>
              <w:spacing w:line="400" w:lineRule="exact"/>
              <w:jc w:val="center"/>
              <w:rPr>
                <w:szCs w:val="21"/>
              </w:rPr>
            </w:pPr>
            <w:r>
              <w:rPr>
                <w:rFonts w:hint="eastAsia"/>
                <w:szCs w:val="21"/>
              </w:rPr>
              <w:t>21.5</w:t>
            </w:r>
          </w:p>
        </w:tc>
        <w:tc>
          <w:tcPr>
            <w:tcW w:w="877" w:type="dxa"/>
            <w:vAlign w:val="center"/>
          </w:tcPr>
          <w:p>
            <w:pPr>
              <w:spacing w:line="400" w:lineRule="exact"/>
              <w:jc w:val="center"/>
              <w:rPr>
                <w:szCs w:val="21"/>
              </w:rPr>
            </w:pPr>
            <w:r>
              <w:rPr>
                <w:rFonts w:hint="eastAsia"/>
                <w:szCs w:val="21"/>
              </w:rPr>
              <w:t>23.5</w:t>
            </w:r>
          </w:p>
        </w:tc>
        <w:tc>
          <w:tcPr>
            <w:tcW w:w="877" w:type="dxa"/>
            <w:vAlign w:val="center"/>
          </w:tcPr>
          <w:p>
            <w:pPr>
              <w:spacing w:line="400" w:lineRule="exact"/>
              <w:jc w:val="center"/>
              <w:rPr>
                <w:szCs w:val="21"/>
              </w:rPr>
            </w:pPr>
            <w:r>
              <w:rPr>
                <w:rFonts w:hint="eastAsia"/>
                <w:szCs w:val="21"/>
              </w:rPr>
              <w:t>17.5</w:t>
            </w:r>
          </w:p>
        </w:tc>
        <w:tc>
          <w:tcPr>
            <w:tcW w:w="878" w:type="dxa"/>
            <w:vAlign w:val="center"/>
          </w:tcPr>
          <w:p>
            <w:pPr>
              <w:spacing w:line="400" w:lineRule="exact"/>
              <w:jc w:val="center"/>
              <w:rPr>
                <w:szCs w:val="21"/>
              </w:rPr>
            </w:pPr>
            <w:r>
              <w:rPr>
                <w:rFonts w:hint="eastAsia"/>
                <w:szCs w:val="21"/>
              </w:rPr>
              <w:t>18.5</w:t>
            </w:r>
          </w:p>
        </w:tc>
        <w:tc>
          <w:tcPr>
            <w:tcW w:w="877" w:type="dxa"/>
            <w:vAlign w:val="center"/>
          </w:tcPr>
          <w:p>
            <w:pPr>
              <w:spacing w:line="400" w:lineRule="exact"/>
              <w:jc w:val="center"/>
              <w:rPr>
                <w:szCs w:val="21"/>
              </w:rPr>
            </w:pPr>
            <w:r>
              <w:rPr>
                <w:rFonts w:hint="eastAsia"/>
                <w:szCs w:val="21"/>
              </w:rPr>
              <w:t>11</w:t>
            </w:r>
          </w:p>
        </w:tc>
        <w:tc>
          <w:tcPr>
            <w:tcW w:w="877" w:type="dxa"/>
            <w:vAlign w:val="center"/>
          </w:tcPr>
          <w:p>
            <w:pPr>
              <w:spacing w:line="400" w:lineRule="exact"/>
              <w:jc w:val="center"/>
              <w:rPr>
                <w:szCs w:val="21"/>
              </w:rPr>
            </w:pPr>
            <w:r>
              <w:rPr>
                <w:rFonts w:hint="eastAsia"/>
                <w:szCs w:val="21"/>
              </w:rPr>
              <w:t>12</w:t>
            </w:r>
          </w:p>
        </w:tc>
        <w:tc>
          <w:tcPr>
            <w:tcW w:w="878" w:type="dxa"/>
            <w:vAlign w:val="center"/>
          </w:tcPr>
          <w:p>
            <w:pPr>
              <w:spacing w:line="400" w:lineRule="exact"/>
              <w:jc w:val="center"/>
              <w:rPr>
                <w:szCs w:val="21"/>
              </w:rPr>
            </w:pPr>
            <w:r>
              <w:rPr>
                <w:rFonts w:hint="eastAsia"/>
                <w:szCs w:val="21"/>
              </w:rPr>
              <w:t>6</w:t>
            </w:r>
          </w:p>
        </w:tc>
        <w:tc>
          <w:tcPr>
            <w:tcW w:w="877" w:type="dxa"/>
            <w:vAlign w:val="center"/>
          </w:tcPr>
          <w:p>
            <w:pPr>
              <w:spacing w:line="400" w:lineRule="exact"/>
              <w:jc w:val="center"/>
              <w:rPr>
                <w:szCs w:val="21"/>
              </w:rPr>
            </w:pPr>
            <w:r>
              <w:rPr>
                <w:rFonts w:hint="eastAsia"/>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trike/>
                <w:color w:val="FF0000"/>
                <w:szCs w:val="21"/>
              </w:rPr>
            </w:pPr>
            <w:r>
              <w:rPr>
                <w:szCs w:val="21"/>
              </w:rPr>
              <w:t>课内实践学分</w:t>
            </w:r>
          </w:p>
        </w:tc>
        <w:tc>
          <w:tcPr>
            <w:tcW w:w="878" w:type="dxa"/>
            <w:vAlign w:val="center"/>
          </w:tcPr>
          <w:p>
            <w:pPr>
              <w:jc w:val="center"/>
            </w:pPr>
            <w:r>
              <w:rPr>
                <w:rFonts w:hint="eastAsia"/>
                <w:szCs w:val="21"/>
              </w:rPr>
              <w:t>3.5</w:t>
            </w:r>
          </w:p>
        </w:tc>
        <w:tc>
          <w:tcPr>
            <w:tcW w:w="877" w:type="dxa"/>
            <w:vAlign w:val="center"/>
          </w:tcPr>
          <w:p>
            <w:pPr>
              <w:jc w:val="center"/>
            </w:pPr>
            <w:r>
              <w:rPr>
                <w:rFonts w:hint="eastAsia"/>
                <w:szCs w:val="21"/>
              </w:rPr>
              <w:t>2.5</w:t>
            </w:r>
          </w:p>
        </w:tc>
        <w:tc>
          <w:tcPr>
            <w:tcW w:w="877" w:type="dxa"/>
            <w:vAlign w:val="center"/>
          </w:tcPr>
          <w:p>
            <w:pPr>
              <w:jc w:val="center"/>
            </w:pPr>
            <w:r>
              <w:rPr>
                <w:rFonts w:hint="eastAsia"/>
                <w:szCs w:val="21"/>
              </w:rPr>
              <w:t>3.5</w:t>
            </w:r>
          </w:p>
        </w:tc>
        <w:tc>
          <w:tcPr>
            <w:tcW w:w="878" w:type="dxa"/>
            <w:vAlign w:val="center"/>
          </w:tcPr>
          <w:p>
            <w:pPr>
              <w:jc w:val="center"/>
            </w:pPr>
            <w:r>
              <w:rPr>
                <w:rFonts w:hint="eastAsia"/>
                <w:szCs w:val="21"/>
              </w:rPr>
              <w:t>3.5</w:t>
            </w:r>
          </w:p>
        </w:tc>
        <w:tc>
          <w:tcPr>
            <w:tcW w:w="877" w:type="dxa"/>
            <w:vAlign w:val="center"/>
          </w:tcPr>
          <w:p>
            <w:pPr>
              <w:jc w:val="center"/>
            </w:pPr>
            <w:r>
              <w:rPr>
                <w:rFonts w:hint="eastAsia"/>
                <w:szCs w:val="21"/>
              </w:rPr>
              <w:t>3.5</w:t>
            </w:r>
          </w:p>
        </w:tc>
        <w:tc>
          <w:tcPr>
            <w:tcW w:w="877" w:type="dxa"/>
            <w:vAlign w:val="center"/>
          </w:tcPr>
          <w:p>
            <w:pPr>
              <w:jc w:val="center"/>
            </w:pPr>
            <w:r>
              <w:rPr>
                <w:rFonts w:hint="eastAsia"/>
              </w:rPr>
              <w:t>2</w:t>
            </w:r>
          </w:p>
        </w:tc>
        <w:tc>
          <w:tcPr>
            <w:tcW w:w="878" w:type="dxa"/>
            <w:vAlign w:val="center"/>
          </w:tcPr>
          <w:p>
            <w:pPr>
              <w:jc w:val="center"/>
            </w:pPr>
            <w:r>
              <w:rPr>
                <w:rFonts w:hint="eastAsia"/>
              </w:rPr>
              <w:t>0</w:t>
            </w:r>
          </w:p>
        </w:tc>
        <w:tc>
          <w:tcPr>
            <w:tcW w:w="877" w:type="dxa"/>
            <w:vAlign w:val="center"/>
          </w:tcPr>
          <w:p>
            <w:pPr>
              <w:jc w:val="center"/>
            </w:pPr>
            <w:r>
              <w:rPr>
                <w:rFonts w:hint="eastAsia"/>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8" w:type="dxa"/>
            <w:vAlign w:val="center"/>
          </w:tcPr>
          <w:p>
            <w:pPr>
              <w:spacing w:line="400" w:lineRule="exact"/>
              <w:jc w:val="center"/>
              <w:rPr>
                <w:szCs w:val="21"/>
              </w:rPr>
            </w:pPr>
            <w:r>
              <w:rPr>
                <w:szCs w:val="21"/>
              </w:rPr>
              <w:t>课内周学时</w:t>
            </w:r>
          </w:p>
        </w:tc>
        <w:tc>
          <w:tcPr>
            <w:tcW w:w="878" w:type="dxa"/>
            <w:vAlign w:val="center"/>
          </w:tcPr>
          <w:p>
            <w:pPr>
              <w:spacing w:line="400" w:lineRule="exact"/>
              <w:jc w:val="center"/>
              <w:rPr>
                <w:szCs w:val="21"/>
              </w:rPr>
            </w:pPr>
            <w:r>
              <w:rPr>
                <w:rFonts w:hint="eastAsia"/>
                <w:szCs w:val="21"/>
              </w:rPr>
              <w:t>26</w:t>
            </w:r>
          </w:p>
        </w:tc>
        <w:tc>
          <w:tcPr>
            <w:tcW w:w="877" w:type="dxa"/>
            <w:vAlign w:val="center"/>
          </w:tcPr>
          <w:p>
            <w:pPr>
              <w:spacing w:line="400" w:lineRule="exact"/>
              <w:jc w:val="center"/>
              <w:rPr>
                <w:szCs w:val="21"/>
              </w:rPr>
            </w:pPr>
            <w:r>
              <w:rPr>
                <w:rFonts w:hint="eastAsia"/>
                <w:szCs w:val="21"/>
              </w:rPr>
              <w:t>29</w:t>
            </w:r>
          </w:p>
        </w:tc>
        <w:tc>
          <w:tcPr>
            <w:tcW w:w="877" w:type="dxa"/>
            <w:vAlign w:val="center"/>
          </w:tcPr>
          <w:p>
            <w:pPr>
              <w:spacing w:line="400" w:lineRule="exact"/>
              <w:jc w:val="center"/>
              <w:rPr>
                <w:szCs w:val="21"/>
              </w:rPr>
            </w:pPr>
            <w:r>
              <w:rPr>
                <w:rFonts w:hint="eastAsia"/>
                <w:szCs w:val="21"/>
              </w:rPr>
              <w:t>25</w:t>
            </w:r>
          </w:p>
        </w:tc>
        <w:tc>
          <w:tcPr>
            <w:tcW w:w="878" w:type="dxa"/>
            <w:vAlign w:val="center"/>
          </w:tcPr>
          <w:p>
            <w:pPr>
              <w:spacing w:line="400" w:lineRule="exact"/>
              <w:jc w:val="center"/>
              <w:rPr>
                <w:szCs w:val="21"/>
              </w:rPr>
            </w:pPr>
            <w:r>
              <w:rPr>
                <w:rFonts w:hint="eastAsia"/>
                <w:szCs w:val="21"/>
              </w:rPr>
              <w:t>24</w:t>
            </w:r>
          </w:p>
        </w:tc>
        <w:tc>
          <w:tcPr>
            <w:tcW w:w="877" w:type="dxa"/>
            <w:vAlign w:val="center"/>
          </w:tcPr>
          <w:p>
            <w:pPr>
              <w:spacing w:line="400" w:lineRule="exact"/>
              <w:jc w:val="center"/>
              <w:rPr>
                <w:szCs w:val="21"/>
              </w:rPr>
            </w:pPr>
            <w:r>
              <w:rPr>
                <w:rFonts w:hint="eastAsia"/>
                <w:szCs w:val="21"/>
              </w:rPr>
              <w:t>18</w:t>
            </w:r>
          </w:p>
        </w:tc>
        <w:tc>
          <w:tcPr>
            <w:tcW w:w="877" w:type="dxa"/>
            <w:vAlign w:val="center"/>
          </w:tcPr>
          <w:p>
            <w:pPr>
              <w:spacing w:line="400" w:lineRule="exact"/>
              <w:jc w:val="center"/>
              <w:rPr>
                <w:szCs w:val="21"/>
              </w:rPr>
            </w:pPr>
            <w:r>
              <w:rPr>
                <w:rFonts w:hint="eastAsia"/>
                <w:szCs w:val="21"/>
              </w:rPr>
              <w:t>18</w:t>
            </w:r>
          </w:p>
        </w:tc>
        <w:tc>
          <w:tcPr>
            <w:tcW w:w="878" w:type="dxa"/>
            <w:vAlign w:val="center"/>
          </w:tcPr>
          <w:p>
            <w:pPr>
              <w:spacing w:line="400" w:lineRule="exact"/>
              <w:jc w:val="center"/>
              <w:rPr>
                <w:szCs w:val="21"/>
              </w:rPr>
            </w:pPr>
            <w:r>
              <w:rPr>
                <w:rFonts w:hint="eastAsia"/>
                <w:szCs w:val="21"/>
              </w:rPr>
              <w:t>12</w:t>
            </w:r>
          </w:p>
        </w:tc>
        <w:tc>
          <w:tcPr>
            <w:tcW w:w="877" w:type="dxa"/>
            <w:vAlign w:val="center"/>
          </w:tcPr>
          <w:p>
            <w:pPr>
              <w:spacing w:line="400" w:lineRule="exact"/>
              <w:jc w:val="center"/>
              <w:rPr>
                <w:szCs w:val="21"/>
              </w:rPr>
            </w:pPr>
            <w:r>
              <w:rPr>
                <w:rFonts w:hint="eastAsia"/>
                <w:szCs w:val="21"/>
              </w:rPr>
              <w:t>0</w:t>
            </w:r>
          </w:p>
        </w:tc>
      </w:tr>
    </w:tbl>
    <w:p>
      <w:pPr>
        <w:rPr>
          <w:rFonts w:eastAsia="黑体"/>
          <w:color w:val="000000"/>
          <w:kern w:val="0"/>
          <w:sz w:val="24"/>
        </w:rPr>
        <w:sectPr>
          <w:pgSz w:w="11906" w:h="16838"/>
          <w:pgMar w:top="1417" w:right="1417" w:bottom="1417" w:left="1417" w:header="851" w:footer="992" w:gutter="0"/>
          <w:pgNumType w:fmt="upperRoman" w:start="1"/>
          <w:cols w:space="720" w:num="1"/>
          <w:docGrid w:type="lines" w:linePitch="312" w:charSpace="0"/>
        </w:sectPr>
      </w:pPr>
      <w:r>
        <w:t xml:space="preserve">                           </w:t>
      </w:r>
    </w:p>
    <w:p>
      <w:pPr>
        <w:pStyle w:val="210"/>
        <w:widowControl/>
        <w:tabs>
          <w:tab w:val="left" w:pos="0"/>
          <w:tab w:val="left" w:pos="851"/>
          <w:tab w:val="left" w:pos="8136"/>
          <w:tab w:val="left" w:pos="8599"/>
          <w:tab w:val="left" w:pos="9062"/>
          <w:tab w:val="left" w:pos="9525"/>
          <w:tab w:val="left" w:pos="9988"/>
          <w:tab w:val="left" w:pos="10231"/>
          <w:tab w:val="left" w:pos="10474"/>
          <w:tab w:val="left" w:pos="10710"/>
        </w:tabs>
        <w:spacing w:before="156" w:beforeLines="50" w:after="156" w:afterLines="50"/>
        <w:ind w:firstLine="0" w:firstLineChars="0"/>
        <w:jc w:val="left"/>
        <w:rPr>
          <w:rFonts w:eastAsia="黑体"/>
          <w:bCs/>
          <w:color w:val="000000"/>
          <w:kern w:val="0"/>
          <w:sz w:val="24"/>
        </w:rPr>
        <w:sectPr>
          <w:pgSz w:w="16838" w:h="11906" w:orient="landscape"/>
          <w:pgMar w:top="1418" w:right="1418" w:bottom="1418" w:left="1418" w:header="851" w:footer="992" w:gutter="0"/>
          <w:pgNumType w:fmt="upperRoman"/>
          <w:cols w:space="720" w:num="1"/>
          <w:docGrid w:type="lines" w:linePitch="312" w:charSpace="0"/>
        </w:sectPr>
      </w:pPr>
      <w:r>
        <w:rPr>
          <w:rFonts w:hint="eastAsia" w:eastAsia="黑体"/>
          <w:color w:val="000000"/>
          <w:kern w:val="0"/>
          <w:sz w:val="24"/>
        </w:rPr>
        <w:t>九、</w:t>
      </w:r>
      <w:r>
        <w:rPr>
          <w:rFonts w:hint="eastAsia"/>
          <w:b/>
          <w:bCs/>
          <w:sz w:val="24"/>
        </w:rPr>
        <w:t>课程结构拓扑</w:t>
      </w:r>
      <w:r>
        <w:object>
          <v:shape id="_x0000_i1025" o:spt="75" type="#_x0000_t75" style="height:400.5pt;width:682.5pt;" o:ole="t" filled="f" o:preferrelative="t" stroked="f" coordsize="21600,21600">
            <v:path/>
            <v:fill on="f" focussize="0,0"/>
            <v:stroke on="f" joinstyle="miter"/>
            <v:imagedata r:id="rId5" o:title=""/>
            <o:lock v:ext="edit" aspectratio="t"/>
            <w10:wrap type="none"/>
            <w10:anchorlock/>
          </v:shape>
          <o:OLEObject Type="Embed" ProgID="Visio.Drawing.11" ShapeID="_x0000_i1025" DrawAspect="Content" ObjectID="_1468075725" r:id="rId4">
            <o:LockedField>false</o:LockedField>
          </o:OLEObject>
        </w:object>
      </w:r>
    </w:p>
    <w:p>
      <w:pPr>
        <w:adjustRightInd w:val="0"/>
        <w:snapToGrid w:val="0"/>
        <w:spacing w:before="156" w:beforeLines="50" w:line="324" w:lineRule="auto"/>
        <w:ind w:firstLine="480" w:firstLineChars="200"/>
        <w:rPr>
          <w:b/>
          <w:bCs/>
          <w:sz w:val="24"/>
        </w:rPr>
      </w:pPr>
      <w:r>
        <w:rPr>
          <w:rFonts w:hint="eastAsia"/>
          <w:b/>
          <w:bCs/>
          <w:sz w:val="24"/>
        </w:rPr>
        <w:t>十、课程与毕业要求关系矩阵图</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1"/>
        <w:gridCol w:w="907"/>
        <w:gridCol w:w="907"/>
        <w:gridCol w:w="1077"/>
        <w:gridCol w:w="907"/>
        <w:gridCol w:w="907"/>
        <w:gridCol w:w="907"/>
        <w:gridCol w:w="1077"/>
        <w:gridCol w:w="907"/>
        <w:gridCol w:w="907"/>
        <w:gridCol w:w="907"/>
        <w:gridCol w:w="907"/>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tcBorders>
              <w:tl2br w:val="single" w:color="auto" w:sz="4" w:space="0"/>
            </w:tcBorders>
            <w:vAlign w:val="center"/>
          </w:tcPr>
          <w:p>
            <w:pPr>
              <w:widowControl/>
              <w:jc w:val="center"/>
              <w:rPr>
                <w:rFonts w:eastAsia="黑体"/>
                <w:bCs/>
                <w:color w:val="000000"/>
                <w:kern w:val="0"/>
                <w:szCs w:val="21"/>
              </w:rPr>
            </w:pPr>
            <w:r>
              <w:rPr>
                <w:rFonts w:eastAsia="黑体"/>
                <w:bCs/>
                <w:color w:val="000000"/>
                <w:kern w:val="0"/>
                <w:szCs w:val="21"/>
              </w:rPr>
              <w:t xml:space="preserve">         能力</w:t>
            </w:r>
          </w:p>
          <w:p>
            <w:pPr>
              <w:widowControl/>
              <w:rPr>
                <w:rFonts w:eastAsia="黑体"/>
                <w:bCs/>
                <w:color w:val="000000"/>
                <w:kern w:val="0"/>
                <w:szCs w:val="21"/>
              </w:rPr>
            </w:pPr>
            <w:r>
              <w:rPr>
                <w:rFonts w:eastAsia="黑体"/>
                <w:bCs/>
                <w:color w:val="000000"/>
                <w:kern w:val="0"/>
                <w:szCs w:val="21"/>
              </w:rPr>
              <w:t>课程</w:t>
            </w:r>
          </w:p>
        </w:tc>
        <w:tc>
          <w:tcPr>
            <w:tcW w:w="907" w:type="dxa"/>
            <w:tcMar>
              <w:left w:w="28" w:type="dxa"/>
              <w:right w:w="28" w:type="dxa"/>
            </w:tcMar>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工程知识</w:t>
            </w:r>
            <w:r>
              <w:rPr>
                <w:rFonts w:eastAsia="黑体"/>
                <w:bCs/>
                <w:color w:val="000000"/>
                <w:kern w:val="0"/>
                <w:szCs w:val="21"/>
              </w:rPr>
              <w:br w:type="textWrapping"/>
            </w:r>
            <w:r>
              <w:rPr>
                <w:rFonts w:eastAsia="黑体"/>
                <w:bCs/>
                <w:color w:val="000000"/>
                <w:kern w:val="0"/>
                <w:szCs w:val="21"/>
              </w:rPr>
              <w:t>1</w:t>
            </w:r>
          </w:p>
        </w:tc>
        <w:tc>
          <w:tcPr>
            <w:tcW w:w="907" w:type="dxa"/>
            <w:tcMar>
              <w:left w:w="28" w:type="dxa"/>
              <w:right w:w="28" w:type="dxa"/>
            </w:tcMar>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问题分析</w:t>
            </w:r>
            <w:r>
              <w:rPr>
                <w:rFonts w:eastAsia="黑体"/>
                <w:bCs/>
                <w:color w:val="000000"/>
                <w:kern w:val="0"/>
                <w:szCs w:val="21"/>
              </w:rPr>
              <w:br w:type="textWrapping"/>
            </w:r>
            <w:r>
              <w:rPr>
                <w:rFonts w:eastAsia="黑体"/>
                <w:bCs/>
                <w:color w:val="000000"/>
                <w:kern w:val="0"/>
                <w:szCs w:val="21"/>
              </w:rPr>
              <w:t>2</w:t>
            </w:r>
          </w:p>
        </w:tc>
        <w:tc>
          <w:tcPr>
            <w:tcW w:w="1077" w:type="dxa"/>
            <w:tcMar>
              <w:left w:w="28" w:type="dxa"/>
              <w:right w:w="28" w:type="dxa"/>
            </w:tcMar>
            <w:vAlign w:val="center"/>
          </w:tcPr>
          <w:p>
            <w:pPr>
              <w:widowControl/>
              <w:jc w:val="left"/>
              <w:rPr>
                <w:rFonts w:eastAsia="黑体"/>
                <w:bCs/>
                <w:color w:val="000000"/>
                <w:kern w:val="0"/>
                <w:szCs w:val="21"/>
              </w:rPr>
            </w:pPr>
            <w:r>
              <w:rPr>
                <w:rFonts w:hint="eastAsia" w:eastAsia="黑体"/>
                <w:bCs/>
                <w:color w:val="000000"/>
                <w:kern w:val="0"/>
                <w:szCs w:val="21"/>
              </w:rPr>
              <w:t>设计/开发解决方案</w:t>
            </w:r>
            <w:r>
              <w:rPr>
                <w:rFonts w:eastAsia="黑体"/>
                <w:bCs/>
                <w:color w:val="000000"/>
                <w:kern w:val="0"/>
                <w:szCs w:val="21"/>
              </w:rPr>
              <w:t>3</w:t>
            </w:r>
          </w:p>
        </w:tc>
        <w:tc>
          <w:tcPr>
            <w:tcW w:w="907" w:type="dxa"/>
            <w:tcMar>
              <w:left w:w="28" w:type="dxa"/>
              <w:right w:w="28" w:type="dxa"/>
            </w:tcMar>
            <w:vAlign w:val="center"/>
          </w:tcPr>
          <w:p>
            <w:pPr>
              <w:widowControl/>
              <w:ind w:left="-33" w:leftChars="-16" w:right="-105" w:rightChars="-50"/>
              <w:jc w:val="center"/>
              <w:rPr>
                <w:rFonts w:eastAsia="黑体"/>
                <w:bCs/>
                <w:color w:val="000000"/>
                <w:kern w:val="0"/>
                <w:szCs w:val="21"/>
              </w:rPr>
            </w:pPr>
            <w:r>
              <w:rPr>
                <w:rFonts w:hint="eastAsia" w:eastAsia="黑体"/>
                <w:bCs/>
                <w:color w:val="000000"/>
                <w:kern w:val="0"/>
                <w:szCs w:val="21"/>
              </w:rPr>
              <w:t>研究</w:t>
            </w:r>
          </w:p>
          <w:p>
            <w:pPr>
              <w:widowControl/>
              <w:ind w:left="-33" w:leftChars="-16" w:right="-105" w:rightChars="-50"/>
              <w:jc w:val="center"/>
              <w:rPr>
                <w:rFonts w:eastAsia="黑体"/>
                <w:bCs/>
                <w:color w:val="000000"/>
                <w:kern w:val="0"/>
                <w:szCs w:val="21"/>
              </w:rPr>
            </w:pPr>
            <w:r>
              <w:rPr>
                <w:rFonts w:eastAsia="黑体"/>
                <w:bCs/>
                <w:color w:val="000000"/>
                <w:kern w:val="0"/>
                <w:szCs w:val="21"/>
              </w:rPr>
              <w:t>4</w:t>
            </w:r>
          </w:p>
        </w:tc>
        <w:tc>
          <w:tcPr>
            <w:tcW w:w="907" w:type="dxa"/>
            <w:tcMar>
              <w:left w:w="28" w:type="dxa"/>
              <w:right w:w="28" w:type="dxa"/>
            </w:tcMar>
            <w:vAlign w:val="center"/>
          </w:tcPr>
          <w:p>
            <w:pPr>
              <w:widowControl/>
              <w:ind w:right="29" w:rightChars="14"/>
              <w:jc w:val="center"/>
              <w:rPr>
                <w:rFonts w:eastAsia="黑体"/>
                <w:bCs/>
                <w:color w:val="000000"/>
                <w:kern w:val="0"/>
                <w:szCs w:val="21"/>
              </w:rPr>
            </w:pPr>
            <w:r>
              <w:rPr>
                <w:rFonts w:hint="eastAsia" w:eastAsia="黑体"/>
                <w:bCs/>
                <w:color w:val="000000"/>
                <w:kern w:val="0"/>
                <w:szCs w:val="21"/>
              </w:rPr>
              <w:t>使用现代工具</w:t>
            </w:r>
            <w:r>
              <w:rPr>
                <w:rFonts w:eastAsia="黑体"/>
                <w:bCs/>
                <w:color w:val="000000"/>
                <w:kern w:val="0"/>
                <w:szCs w:val="21"/>
              </w:rPr>
              <w:t>5</w:t>
            </w:r>
          </w:p>
        </w:tc>
        <w:tc>
          <w:tcPr>
            <w:tcW w:w="907" w:type="dxa"/>
            <w:tcMar>
              <w:left w:w="28" w:type="dxa"/>
              <w:right w:w="28" w:type="dxa"/>
            </w:tcMar>
            <w:vAlign w:val="center"/>
          </w:tcPr>
          <w:p>
            <w:pPr>
              <w:widowControl/>
              <w:jc w:val="center"/>
              <w:rPr>
                <w:rFonts w:eastAsia="黑体"/>
                <w:bCs/>
                <w:color w:val="000000"/>
                <w:kern w:val="0"/>
                <w:szCs w:val="21"/>
              </w:rPr>
            </w:pPr>
            <w:r>
              <w:rPr>
                <w:rFonts w:hint="eastAsia" w:eastAsia="黑体"/>
                <w:bCs/>
                <w:color w:val="000000"/>
                <w:kern w:val="0"/>
                <w:szCs w:val="21"/>
              </w:rPr>
              <w:t>工程与社会</w:t>
            </w:r>
            <w:r>
              <w:rPr>
                <w:rFonts w:eastAsia="黑体"/>
                <w:bCs/>
                <w:color w:val="000000"/>
                <w:kern w:val="0"/>
                <w:szCs w:val="21"/>
              </w:rPr>
              <w:t>6</w:t>
            </w:r>
          </w:p>
        </w:tc>
        <w:tc>
          <w:tcPr>
            <w:tcW w:w="1077" w:type="dxa"/>
            <w:tcMar>
              <w:left w:w="28" w:type="dxa"/>
              <w:right w:w="28" w:type="dxa"/>
            </w:tcMar>
            <w:vAlign w:val="center"/>
          </w:tcPr>
          <w:p>
            <w:pPr>
              <w:widowControl/>
              <w:ind w:right="27" w:rightChars="13"/>
              <w:jc w:val="center"/>
              <w:rPr>
                <w:rFonts w:eastAsia="黑体"/>
                <w:bCs/>
                <w:color w:val="000000"/>
                <w:kern w:val="0"/>
                <w:szCs w:val="21"/>
              </w:rPr>
            </w:pPr>
            <w:r>
              <w:rPr>
                <w:rFonts w:hint="eastAsia" w:eastAsia="黑体"/>
                <w:bCs/>
                <w:color w:val="000000"/>
                <w:kern w:val="0"/>
                <w:szCs w:val="21"/>
              </w:rPr>
              <w:t>环境和可持续发展</w:t>
            </w:r>
            <w:r>
              <w:rPr>
                <w:rFonts w:eastAsia="黑体"/>
                <w:bCs/>
                <w:color w:val="000000"/>
                <w:kern w:val="0"/>
                <w:szCs w:val="21"/>
              </w:rPr>
              <w:t>7</w:t>
            </w:r>
          </w:p>
        </w:tc>
        <w:tc>
          <w:tcPr>
            <w:tcW w:w="907" w:type="dxa"/>
            <w:tcMar>
              <w:left w:w="28" w:type="dxa"/>
              <w:right w:w="28" w:type="dxa"/>
            </w:tcMar>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职业规范</w:t>
            </w:r>
          </w:p>
          <w:p>
            <w:pPr>
              <w:widowControl/>
              <w:ind w:left="-105" w:leftChars="-50" w:right="-105" w:rightChars="-50"/>
              <w:jc w:val="center"/>
              <w:rPr>
                <w:rFonts w:eastAsia="黑体"/>
                <w:bCs/>
                <w:color w:val="000000"/>
                <w:kern w:val="0"/>
                <w:szCs w:val="21"/>
              </w:rPr>
            </w:pPr>
            <w:r>
              <w:rPr>
                <w:rFonts w:eastAsia="黑体"/>
                <w:bCs/>
                <w:color w:val="000000"/>
                <w:kern w:val="0"/>
                <w:szCs w:val="21"/>
              </w:rPr>
              <w:t>8</w:t>
            </w:r>
          </w:p>
        </w:tc>
        <w:tc>
          <w:tcPr>
            <w:tcW w:w="907" w:type="dxa"/>
          </w:tcPr>
          <w:p>
            <w:pPr>
              <w:widowControl/>
              <w:ind w:left="-84" w:leftChars="-40" w:right="-73" w:rightChars="-35"/>
              <w:jc w:val="center"/>
              <w:rPr>
                <w:rFonts w:eastAsia="黑体"/>
                <w:bCs/>
                <w:color w:val="000000"/>
                <w:kern w:val="0"/>
                <w:szCs w:val="21"/>
              </w:rPr>
            </w:pPr>
            <w:r>
              <w:rPr>
                <w:rFonts w:hint="eastAsia" w:eastAsia="黑体"/>
                <w:bCs/>
                <w:color w:val="000000"/>
                <w:kern w:val="0"/>
                <w:szCs w:val="21"/>
              </w:rPr>
              <w:t>个人和团队9</w:t>
            </w: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沟通</w:t>
            </w:r>
          </w:p>
          <w:p>
            <w:pPr>
              <w:widowControl/>
              <w:ind w:left="-105" w:leftChars="-50" w:right="-105" w:rightChars="-50"/>
              <w:jc w:val="center"/>
              <w:rPr>
                <w:rFonts w:eastAsia="黑体"/>
                <w:bCs/>
                <w:color w:val="000000"/>
                <w:kern w:val="0"/>
                <w:szCs w:val="21"/>
              </w:rPr>
            </w:pPr>
            <w:r>
              <w:rPr>
                <w:rFonts w:hint="eastAsia" w:eastAsia="黑体"/>
                <w:bCs/>
                <w:color w:val="000000"/>
                <w:kern w:val="0"/>
                <w:szCs w:val="21"/>
              </w:rPr>
              <w:t>10</w:t>
            </w: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项目管理11</w:t>
            </w:r>
          </w:p>
        </w:tc>
        <w:tc>
          <w:tcPr>
            <w:tcW w:w="907" w:type="dxa"/>
            <w:tcMar>
              <w:left w:w="28" w:type="dxa"/>
              <w:right w:w="28" w:type="dxa"/>
            </w:tcMa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终身学习12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马克思主义基本原理概论</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信息技术及Java程序设计</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军事理论</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大学生心理健康教育</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大学体育</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大学英语</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sz w:val="18"/>
                <w:szCs w:val="18"/>
              </w:rPr>
            </w:pPr>
            <w:r>
              <w:rPr>
                <w:rFonts w:hint="eastAsia"/>
                <w:sz w:val="18"/>
                <w:szCs w:val="18"/>
              </w:rPr>
              <w:t>大学生职业规划教育</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思想道德修养与法律基础</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中国近现代史纲要</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sz w:val="18"/>
                <w:szCs w:val="18"/>
              </w:rPr>
            </w:pPr>
            <w:r>
              <w:rPr>
                <w:rFonts w:hint="eastAsia"/>
                <w:sz w:val="18"/>
                <w:szCs w:val="18"/>
              </w:rPr>
              <w:t>音乐素养</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毛泽东思想和中国特色社会主义理论体系概论</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大学生创新创业素质教育</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sz w:val="18"/>
                <w:szCs w:val="18"/>
              </w:rPr>
            </w:pPr>
            <w:r>
              <w:rPr>
                <w:rFonts w:hint="eastAsia"/>
                <w:sz w:val="18"/>
                <w:szCs w:val="18"/>
              </w:rPr>
              <w:t>大学生就业指导教育</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ascii="宋体" w:hAnsi="宋体" w:cs="宋体"/>
                <w:color w:val="000000"/>
                <w:kern w:val="0"/>
                <w:sz w:val="18"/>
                <w:szCs w:val="18"/>
                <w:lang w:bidi="ar"/>
              </w:rPr>
              <w:t>应用文写作与创意写作</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sz w:val="18"/>
                <w:szCs w:val="18"/>
              </w:rPr>
            </w:pPr>
            <w:r>
              <w:rPr>
                <w:rFonts w:hint="eastAsia"/>
                <w:sz w:val="18"/>
                <w:szCs w:val="18"/>
              </w:rPr>
              <w:t>形势与政策</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高等数学A</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无机及分析化学</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sz w:val="18"/>
                <w:szCs w:val="18"/>
              </w:rPr>
            </w:pPr>
            <w:r>
              <w:rPr>
                <w:rFonts w:hint="eastAsia"/>
                <w:sz w:val="18"/>
                <w:szCs w:val="18"/>
              </w:rPr>
              <w:t>工程伦理</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工程制图</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大学物理B</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有机化学</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线性代数与概率统计</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sz w:val="18"/>
                <w:szCs w:val="18"/>
              </w:rPr>
            </w:pPr>
            <w:r>
              <w:rPr>
                <w:rFonts w:hint="eastAsia"/>
                <w:sz w:val="18"/>
                <w:szCs w:val="18"/>
              </w:rPr>
              <w:t>材料力学</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大学物理实验B</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物理化学</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机械基础</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化工原理</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化工原理实验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电工学B</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高分子专业导论</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化学综合实验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材料科学基础</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有机化学实验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物理化学实验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高分子化学</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高分子基础实验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高分子物理</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color w:val="000000"/>
                <w:sz w:val="18"/>
                <w:szCs w:val="18"/>
              </w:rPr>
            </w:pPr>
            <w:r>
              <w:rPr>
                <w:rFonts w:hint="eastAsia"/>
                <w:color w:val="000000"/>
                <w:sz w:val="18"/>
                <w:szCs w:val="18"/>
              </w:rPr>
              <w:t>计算机在材料科学中的应用</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化工技术经济与管理</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color w:val="000000"/>
                <w:sz w:val="18"/>
                <w:szCs w:val="18"/>
              </w:rPr>
            </w:pPr>
            <w:r>
              <w:rPr>
                <w:rFonts w:hint="eastAsia"/>
                <w:color w:val="000000"/>
                <w:sz w:val="18"/>
                <w:szCs w:val="18"/>
              </w:rPr>
              <w:t>高分子专业英语</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color w:val="000000"/>
                <w:sz w:val="18"/>
                <w:szCs w:val="18"/>
              </w:rPr>
            </w:pPr>
            <w:r>
              <w:rPr>
                <w:rFonts w:hint="eastAsia"/>
                <w:color w:val="000000"/>
                <w:sz w:val="18"/>
                <w:szCs w:val="18"/>
              </w:rPr>
              <w:t>化工CAD</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聚合物合成原理与工艺</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高分子材料成型工艺与设备</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高分子材料研究方法</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化工安全与环保</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高分子加工实验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高分子综合实验</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 xml:space="preserve">高分子配方设计及应用 </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高分子学科前沿</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文献检索与写作</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军事技能</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机械基础课程设计</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金工实习</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color w:val="000000"/>
                <w:sz w:val="18"/>
                <w:szCs w:val="18"/>
              </w:rPr>
            </w:pPr>
            <w:r>
              <w:rPr>
                <w:rFonts w:hint="eastAsia"/>
                <w:color w:val="000000"/>
                <w:sz w:val="18"/>
                <w:szCs w:val="18"/>
              </w:rPr>
              <w:t>化工原理课程设计</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sz w:val="18"/>
                <w:szCs w:val="18"/>
              </w:rPr>
            </w:pPr>
            <w:r>
              <w:rPr>
                <w:rFonts w:hint="eastAsia"/>
                <w:sz w:val="18"/>
                <w:szCs w:val="18"/>
              </w:rPr>
              <w:t>综合创新训练</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FF0000"/>
                <w:kern w:val="0"/>
                <w:szCs w:val="21"/>
              </w:rPr>
            </w:pPr>
            <w:r>
              <w:rPr>
                <w:rFonts w:eastAsia="黑体"/>
                <w:bCs/>
                <w:color w:val="FF0000"/>
                <w:kern w:val="0"/>
                <w:szCs w:val="21"/>
              </w:rPr>
              <w:t>M</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认识实习</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毕业实习</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高分子工艺设计</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FF0000"/>
                <w:kern w:val="0"/>
                <w:szCs w:val="21"/>
              </w:rPr>
            </w:pPr>
          </w:p>
        </w:tc>
        <w:tc>
          <w:tcPr>
            <w:tcW w:w="107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M</w:t>
            </w:r>
          </w:p>
        </w:tc>
        <w:tc>
          <w:tcPr>
            <w:tcW w:w="107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L</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eastAsia="黑体"/>
                <w:bCs/>
                <w:color w:val="000000"/>
                <w:kern w:val="0"/>
                <w:szCs w:val="21"/>
              </w:rPr>
              <w:t>H</w:t>
            </w:r>
          </w:p>
        </w:tc>
        <w:tc>
          <w:tcPr>
            <w:tcW w:w="907" w:type="dxa"/>
            <w:vAlign w:val="center"/>
          </w:tcPr>
          <w:p>
            <w:pPr>
              <w:widowControl/>
              <w:ind w:left="-105" w:leftChars="-50" w:right="-105" w:rightChars="-50"/>
              <w:jc w:val="center"/>
              <w:rPr>
                <w:rFonts w:eastAsia="黑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1" w:type="dxa"/>
            <w:vAlign w:val="center"/>
          </w:tcPr>
          <w:p>
            <w:pPr>
              <w:jc w:val="center"/>
              <w:rPr>
                <w:rFonts w:ascii="宋体" w:hAnsi="宋体" w:cs="宋体"/>
                <w:sz w:val="18"/>
                <w:szCs w:val="18"/>
              </w:rPr>
            </w:pPr>
            <w:r>
              <w:rPr>
                <w:rFonts w:hint="eastAsia"/>
                <w:sz w:val="18"/>
                <w:szCs w:val="18"/>
              </w:rPr>
              <w:t>毕业设计（论文）</w:t>
            </w:r>
          </w:p>
        </w:tc>
        <w:tc>
          <w:tcPr>
            <w:tcW w:w="90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M</w:t>
            </w:r>
          </w:p>
        </w:tc>
        <w:tc>
          <w:tcPr>
            <w:tcW w:w="907" w:type="dxa"/>
            <w:vAlign w:val="center"/>
          </w:tcPr>
          <w:p>
            <w:pPr>
              <w:widowControl/>
              <w:ind w:left="-105" w:leftChars="-50" w:right="-105" w:rightChars="-50"/>
              <w:jc w:val="center"/>
              <w:rPr>
                <w:rFonts w:eastAsia="黑体"/>
                <w:bCs/>
                <w:color w:val="000000"/>
                <w:kern w:val="0"/>
                <w:szCs w:val="21"/>
              </w:rPr>
            </w:pPr>
          </w:p>
        </w:tc>
        <w:tc>
          <w:tcPr>
            <w:tcW w:w="1077" w:type="dxa"/>
            <w:vAlign w:val="center"/>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p>
        </w:tc>
        <w:tc>
          <w:tcPr>
            <w:tcW w:w="907" w:type="dxa"/>
          </w:tcPr>
          <w:p>
            <w:pPr>
              <w:widowControl/>
              <w:ind w:left="-105" w:leftChars="-50" w:right="-105" w:rightChars="-50"/>
              <w:jc w:val="center"/>
              <w:rPr>
                <w:rFonts w:eastAsia="黑体"/>
                <w:bCs/>
                <w:color w:val="000000"/>
                <w:kern w:val="0"/>
                <w:szCs w:val="21"/>
              </w:rPr>
            </w:pPr>
            <w:r>
              <w:rPr>
                <w:rFonts w:hint="eastAsia" w:eastAsia="黑体"/>
                <w:bCs/>
                <w:color w:val="000000"/>
                <w:kern w:val="0"/>
                <w:szCs w:val="21"/>
              </w:rPr>
              <w:t>H</w:t>
            </w:r>
          </w:p>
        </w:tc>
        <w:tc>
          <w:tcPr>
            <w:tcW w:w="907" w:type="dxa"/>
          </w:tcPr>
          <w:p>
            <w:pPr>
              <w:widowControl/>
              <w:ind w:left="-105" w:leftChars="-50" w:right="-105" w:rightChars="-50"/>
              <w:jc w:val="center"/>
              <w:rPr>
                <w:rFonts w:eastAsia="黑体"/>
                <w:bCs/>
                <w:color w:val="000000"/>
                <w:kern w:val="0"/>
                <w:szCs w:val="21"/>
              </w:rPr>
            </w:pPr>
          </w:p>
        </w:tc>
        <w:tc>
          <w:tcPr>
            <w:tcW w:w="907" w:type="dxa"/>
            <w:vAlign w:val="center"/>
          </w:tcPr>
          <w:p>
            <w:pPr>
              <w:widowControl/>
              <w:ind w:left="-105" w:leftChars="-50" w:right="-105" w:rightChars="-50"/>
              <w:jc w:val="center"/>
              <w:rPr>
                <w:rFonts w:eastAsia="黑体"/>
                <w:bCs/>
                <w:color w:val="000000"/>
                <w:kern w:val="0"/>
                <w:szCs w:val="21"/>
              </w:rPr>
            </w:pPr>
          </w:p>
        </w:tc>
      </w:tr>
    </w:tbl>
    <w:p/>
    <w:p>
      <w:r>
        <w:rPr>
          <w:rFonts w:hint="eastAsia"/>
        </w:rPr>
        <w:t>注：某课程或实践环节对毕业要求的支撑程度分别用“H（高）、M（中）、L（弱）”表示。</w:t>
      </w:r>
    </w:p>
    <w:p/>
    <w:p>
      <w:pPr>
        <w:ind w:firstLine="10500" w:firstLineChars="5000"/>
      </w:pPr>
      <w:r>
        <w:rPr>
          <w:rFonts w:hint="eastAsia"/>
        </w:rPr>
        <w:t>制定人：董黎明  宫贵贞  韦帮风</w:t>
      </w:r>
    </w:p>
    <w:p>
      <w:pPr>
        <w:ind w:firstLine="10500" w:firstLineChars="5000"/>
      </w:pPr>
      <w:r>
        <w:rPr>
          <w:rFonts w:hint="eastAsia"/>
        </w:rPr>
        <w:t>审核人：堵锡华</w:t>
      </w:r>
    </w:p>
    <w:p>
      <w:pPr>
        <w:ind w:firstLine="10500" w:firstLineChars="5000"/>
      </w:pPr>
      <w:r>
        <w:rPr>
          <w:rFonts w:hint="eastAsia"/>
        </w:rPr>
        <w:t>批准人：曹杰</w:t>
      </w:r>
    </w:p>
    <w:p>
      <w:pPr>
        <w:ind w:firstLine="10500" w:firstLineChars="5000"/>
      </w:pPr>
      <w:r>
        <w:rPr>
          <w:rFonts w:hint="eastAsia"/>
        </w:rPr>
        <w:t>日期：2019年8月</w:t>
      </w:r>
    </w:p>
    <w:p>
      <w:pPr>
        <w:sectPr>
          <w:pgSz w:w="16838" w:h="11906" w:orient="landscape"/>
          <w:pgMar w:top="1797" w:right="1440" w:bottom="1797" w:left="1440" w:header="851" w:footer="992" w:gutter="0"/>
          <w:pgNumType w:fmt="upperRoman"/>
          <w:cols w:space="720" w:num="1"/>
          <w:docGrid w:type="linesAndChar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宋体"/>
    <w:panose1 w:val="00000000000000000000"/>
    <w:charset w:val="86"/>
    <w:family w:val="auto"/>
    <w:pitch w:val="default"/>
    <w:sig w:usb0="00000000" w:usb1="00000000" w:usb2="00000016" w:usb3="00000000" w:csb0="0004000F" w:csb1="00000000"/>
  </w:font>
  <w:font w:name="Calibri Light">
    <w:altName w:val="Calibri"/>
    <w:panose1 w:val="020F0302020204030204"/>
    <w:charset w:val="00"/>
    <w:family w:val="swiss"/>
    <w:pitch w:val="default"/>
    <w:sig w:usb0="00000000" w:usb1="00000000" w:usb2="00000000" w:usb3="00000000" w:csb0="0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59F"/>
    <w:rsid w:val="00077663"/>
    <w:rsid w:val="000A76EC"/>
    <w:rsid w:val="00210CCA"/>
    <w:rsid w:val="00463AC8"/>
    <w:rsid w:val="0067331F"/>
    <w:rsid w:val="008D7507"/>
    <w:rsid w:val="00DB259F"/>
    <w:rsid w:val="00DE11F6"/>
    <w:rsid w:val="25EF77FE"/>
    <w:rsid w:val="6C1150B2"/>
    <w:rsid w:val="79E90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99"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99" w:semiHidden="0" w:name="Strong"/>
    <w:lsdException w:qFormat="1" w:unhideWhenUsed="0" w:uiPriority="20" w:semiHidden="0" w:name="Emphasis"/>
    <w:lsdException w:qFormat="1" w:unhideWhenUsed="0" w:uiPriority="0"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0"/>
    <w:qFormat/>
    <w:uiPriority w:val="99"/>
    <w:pPr>
      <w:keepNext/>
      <w:keepLines/>
      <w:spacing w:before="340" w:after="330" w:line="576"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32"/>
    <w:qFormat/>
    <w:uiPriority w:val="99"/>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5">
    <w:name w:val="Document Map"/>
    <w:basedOn w:val="1"/>
    <w:link w:val="83"/>
    <w:semiHidden/>
    <w:qFormat/>
    <w:uiPriority w:val="0"/>
    <w:pPr>
      <w:shd w:val="clear" w:color="auto" w:fill="000080"/>
    </w:pPr>
  </w:style>
  <w:style w:type="paragraph" w:styleId="6">
    <w:name w:val="annotation text"/>
    <w:basedOn w:val="1"/>
    <w:link w:val="74"/>
    <w:unhideWhenUsed/>
    <w:qFormat/>
    <w:uiPriority w:val="99"/>
    <w:pPr>
      <w:jc w:val="left"/>
    </w:pPr>
  </w:style>
  <w:style w:type="paragraph" w:styleId="7">
    <w:name w:val="Body Text 3"/>
    <w:basedOn w:val="1"/>
    <w:link w:val="73"/>
    <w:qFormat/>
    <w:uiPriority w:val="0"/>
    <w:pPr>
      <w:spacing w:after="120"/>
    </w:pPr>
    <w:rPr>
      <w:sz w:val="16"/>
      <w:szCs w:val="16"/>
    </w:rPr>
  </w:style>
  <w:style w:type="paragraph" w:styleId="8">
    <w:name w:val="Body Text Indent"/>
    <w:basedOn w:val="1"/>
    <w:link w:val="53"/>
    <w:qFormat/>
    <w:uiPriority w:val="99"/>
    <w:pPr>
      <w:spacing w:after="120"/>
      <w:ind w:left="420" w:leftChars="200"/>
    </w:pPr>
    <w:rPr>
      <w:rFonts w:eastAsiaTheme="minorEastAsia" w:cstheme="minorBidi"/>
      <w:szCs w:val="24"/>
    </w:rPr>
  </w:style>
  <w:style w:type="paragraph" w:styleId="9">
    <w:name w:val="Block Text"/>
    <w:basedOn w:val="1"/>
    <w:qFormat/>
    <w:uiPriority w:val="0"/>
    <w:pPr>
      <w:autoSpaceDE w:val="0"/>
      <w:autoSpaceDN w:val="0"/>
      <w:adjustRightInd w:val="0"/>
      <w:jc w:val="center"/>
    </w:pPr>
    <w:rPr>
      <w:bCs/>
      <w:sz w:val="18"/>
      <w:szCs w:val="21"/>
    </w:rPr>
  </w:style>
  <w:style w:type="paragraph" w:styleId="10">
    <w:name w:val="toc 3"/>
    <w:basedOn w:val="1"/>
    <w:next w:val="1"/>
    <w:unhideWhenUsed/>
    <w:qFormat/>
    <w:uiPriority w:val="99"/>
    <w:pPr>
      <w:widowControl/>
      <w:tabs>
        <w:tab w:val="right" w:leader="dot" w:pos="9060"/>
      </w:tabs>
      <w:spacing w:line="400" w:lineRule="exact"/>
      <w:ind w:left="1" w:leftChars="-67" w:hanging="142" w:hangingChars="59"/>
      <w:jc w:val="center"/>
    </w:pPr>
    <w:rPr>
      <w:rFonts w:ascii="黑体" w:hAnsi="黑体" w:eastAsia="黑体"/>
      <w:kern w:val="0"/>
      <w:sz w:val="32"/>
      <w:szCs w:val="32"/>
    </w:rPr>
  </w:style>
  <w:style w:type="paragraph" w:styleId="11">
    <w:name w:val="Plain Text"/>
    <w:basedOn w:val="1"/>
    <w:link w:val="43"/>
    <w:unhideWhenUsed/>
    <w:qFormat/>
    <w:uiPriority w:val="99"/>
    <w:rPr>
      <w:rFonts w:ascii="宋体" w:hAnsi="Courier New" w:eastAsiaTheme="minorEastAsia" w:cstheme="minorBidi"/>
      <w:szCs w:val="24"/>
    </w:rPr>
  </w:style>
  <w:style w:type="paragraph" w:styleId="12">
    <w:name w:val="Body Text Indent 2"/>
    <w:basedOn w:val="1"/>
    <w:link w:val="64"/>
    <w:qFormat/>
    <w:uiPriority w:val="99"/>
    <w:pPr>
      <w:ind w:firstLine="420" w:firstLineChars="200"/>
    </w:pPr>
    <w:rPr>
      <w:rFonts w:eastAsiaTheme="minorEastAsia" w:cstheme="minorBidi"/>
      <w:sz w:val="24"/>
      <w:szCs w:val="24"/>
    </w:rPr>
  </w:style>
  <w:style w:type="paragraph" w:styleId="13">
    <w:name w:val="Balloon Text"/>
    <w:basedOn w:val="1"/>
    <w:link w:val="44"/>
    <w:semiHidden/>
    <w:qFormat/>
    <w:uiPriority w:val="99"/>
    <w:rPr>
      <w:rFonts w:eastAsiaTheme="minorEastAsia" w:cstheme="minorBidi"/>
      <w:sz w:val="18"/>
      <w:szCs w:val="18"/>
    </w:rPr>
  </w:style>
  <w:style w:type="paragraph" w:styleId="14">
    <w:name w:val="footer"/>
    <w:basedOn w:val="1"/>
    <w:link w:val="63"/>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15">
    <w:name w:val="header"/>
    <w:basedOn w:val="1"/>
    <w:link w:val="6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6">
    <w:name w:val="toc 1"/>
    <w:basedOn w:val="1"/>
    <w:next w:val="1"/>
    <w:unhideWhenUsed/>
    <w:qFormat/>
    <w:uiPriority w:val="39"/>
    <w:pPr>
      <w:widowControl/>
      <w:spacing w:after="100" w:line="276" w:lineRule="auto"/>
      <w:jc w:val="left"/>
    </w:pPr>
    <w:rPr>
      <w:rFonts w:ascii="Calibri" w:hAnsi="Calibri"/>
      <w:kern w:val="0"/>
      <w:sz w:val="22"/>
    </w:rPr>
  </w:style>
  <w:style w:type="paragraph" w:styleId="17">
    <w:name w:val="toc 2"/>
    <w:basedOn w:val="1"/>
    <w:next w:val="1"/>
    <w:unhideWhenUsed/>
    <w:qFormat/>
    <w:uiPriority w:val="39"/>
    <w:pPr>
      <w:widowControl/>
      <w:tabs>
        <w:tab w:val="left" w:pos="0"/>
        <w:tab w:val="right" w:leader="dot" w:pos="9356"/>
      </w:tabs>
      <w:spacing w:line="440" w:lineRule="exact"/>
      <w:ind w:left="-67" w:leftChars="-67" w:hanging="141" w:hangingChars="64"/>
      <w:jc w:val="center"/>
    </w:pPr>
    <w:rPr>
      <w:kern w:val="0"/>
      <w:sz w:val="22"/>
    </w:rPr>
  </w:style>
  <w:style w:type="paragraph" w:styleId="18">
    <w:name w:val="HTML Preformatted"/>
    <w:basedOn w:val="1"/>
    <w:link w:val="5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eastAsiaTheme="minorEastAsia"/>
      <w:sz w:val="24"/>
      <w:szCs w:val="24"/>
    </w:rPr>
  </w:style>
  <w:style w:type="paragraph" w:styleId="19">
    <w:name w:val="Normal (Web)"/>
    <w:basedOn w:val="1"/>
    <w:qFormat/>
    <w:uiPriority w:val="0"/>
    <w:pPr>
      <w:widowControl/>
      <w:spacing w:before="100" w:beforeAutospacing="1" w:after="100" w:afterAutospacing="1"/>
      <w:jc w:val="left"/>
    </w:pPr>
    <w:rPr>
      <w:rFonts w:ascii="宋体" w:hAnsi="宋体"/>
      <w:kern w:val="0"/>
      <w:sz w:val="20"/>
      <w:szCs w:val="20"/>
    </w:rPr>
  </w:style>
  <w:style w:type="paragraph" w:styleId="20">
    <w:name w:val="Title"/>
    <w:basedOn w:val="1"/>
    <w:next w:val="1"/>
    <w:link w:val="52"/>
    <w:qFormat/>
    <w:uiPriority w:val="10"/>
    <w:pPr>
      <w:spacing w:before="50" w:beforeLines="50" w:after="50" w:afterLines="50"/>
      <w:jc w:val="center"/>
      <w:outlineLvl w:val="0"/>
    </w:pPr>
    <w:rPr>
      <w:rFonts w:ascii="Cambria" w:hAnsi="Cambria" w:eastAsia="黑体" w:cstheme="minorBidi"/>
      <w:bCs/>
      <w:sz w:val="30"/>
      <w:szCs w:val="32"/>
    </w:rPr>
  </w:style>
  <w:style w:type="paragraph" w:styleId="21">
    <w:name w:val="annotation subject"/>
    <w:basedOn w:val="6"/>
    <w:next w:val="6"/>
    <w:link w:val="57"/>
    <w:semiHidden/>
    <w:qFormat/>
    <w:uiPriority w:val="99"/>
    <w:rPr>
      <w:rFonts w:eastAsiaTheme="minorEastAsia" w:cstheme="minorBidi"/>
      <w:b/>
      <w:bCs/>
      <w:szCs w:val="21"/>
    </w:rPr>
  </w:style>
  <w:style w:type="table" w:styleId="23">
    <w:name w:val="Table Grid"/>
    <w:basedOn w:val="22"/>
    <w:unhideWhenUsed/>
    <w:qFormat/>
    <w:uiPriority w:val="9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99"/>
    <w:rPr>
      <w:b/>
      <w:bCs/>
    </w:rPr>
  </w:style>
  <w:style w:type="character" w:styleId="26">
    <w:name w:val="page number"/>
    <w:basedOn w:val="24"/>
    <w:qFormat/>
    <w:uiPriority w:val="0"/>
  </w:style>
  <w:style w:type="character" w:styleId="27">
    <w:name w:val="FollowedHyperlink"/>
    <w:unhideWhenUsed/>
    <w:qFormat/>
    <w:uiPriority w:val="99"/>
    <w:rPr>
      <w:color w:val="954F72"/>
      <w:u w:val="single"/>
    </w:rPr>
  </w:style>
  <w:style w:type="character" w:styleId="28">
    <w:name w:val="Hyperlink"/>
    <w:qFormat/>
    <w:uiPriority w:val="99"/>
    <w:rPr>
      <w:color w:val="0000FF"/>
      <w:u w:val="single"/>
    </w:rPr>
  </w:style>
  <w:style w:type="character" w:styleId="29">
    <w:name w:val="annotation reference"/>
    <w:semiHidden/>
    <w:qFormat/>
    <w:uiPriority w:val="99"/>
    <w:rPr>
      <w:sz w:val="21"/>
      <w:szCs w:val="21"/>
    </w:rPr>
  </w:style>
  <w:style w:type="character" w:customStyle="1" w:styleId="30">
    <w:name w:val="标题 1 Char"/>
    <w:basedOn w:val="24"/>
    <w:link w:val="2"/>
    <w:qFormat/>
    <w:uiPriority w:val="99"/>
    <w:rPr>
      <w:rFonts w:ascii="Times New Roman" w:hAnsi="Times New Roman" w:eastAsia="宋体" w:cs="Times New Roman"/>
      <w:b/>
      <w:bCs/>
      <w:kern w:val="44"/>
      <w:sz w:val="44"/>
      <w:szCs w:val="44"/>
    </w:rPr>
  </w:style>
  <w:style w:type="character" w:customStyle="1" w:styleId="31">
    <w:name w:val="标题 2 Char"/>
    <w:basedOn w:val="24"/>
    <w:link w:val="3"/>
    <w:qFormat/>
    <w:uiPriority w:val="9"/>
    <w:rPr>
      <w:rFonts w:ascii="Cambria" w:hAnsi="Cambria" w:eastAsia="宋体" w:cs="Times New Roman"/>
      <w:b/>
      <w:bCs/>
      <w:sz w:val="32"/>
      <w:szCs w:val="32"/>
    </w:rPr>
  </w:style>
  <w:style w:type="character" w:customStyle="1" w:styleId="32">
    <w:name w:val="标题 3 Char"/>
    <w:basedOn w:val="24"/>
    <w:link w:val="4"/>
    <w:qFormat/>
    <w:uiPriority w:val="99"/>
    <w:rPr>
      <w:rFonts w:ascii="Times New Roman" w:hAnsi="Times New Roman" w:eastAsia="宋体" w:cs="Times New Roman"/>
      <w:b/>
      <w:bCs/>
      <w:sz w:val="32"/>
      <w:szCs w:val="32"/>
    </w:rPr>
  </w:style>
  <w:style w:type="character" w:customStyle="1" w:styleId="33">
    <w:name w:val="Balloon Text Char"/>
    <w:qFormat/>
    <w:locked/>
    <w:uiPriority w:val="0"/>
    <w:rPr>
      <w:rFonts w:ascii="等线" w:hAnsi="等线" w:eastAsia="等线" w:cs="Times New Roman"/>
      <w:kern w:val="2"/>
      <w:sz w:val="18"/>
      <w:szCs w:val="18"/>
    </w:rPr>
  </w:style>
  <w:style w:type="character" w:customStyle="1" w:styleId="34">
    <w:name w:val="页脚 字符"/>
    <w:qFormat/>
    <w:uiPriority w:val="0"/>
    <w:rPr>
      <w:kern w:val="2"/>
      <w:sz w:val="18"/>
      <w:szCs w:val="18"/>
    </w:rPr>
  </w:style>
  <w:style w:type="character" w:customStyle="1" w:styleId="35">
    <w:name w:val="Comment Text Char"/>
    <w:semiHidden/>
    <w:qFormat/>
    <w:uiPriority w:val="99"/>
    <w:rPr>
      <w:rFonts w:ascii="Times New Roman" w:hAnsi="Times New Roman" w:cs="Times New Roman"/>
      <w:sz w:val="21"/>
      <w:szCs w:val="21"/>
    </w:rPr>
  </w:style>
  <w:style w:type="character" w:customStyle="1" w:styleId="36">
    <w:name w:val="批注框文本 Char1"/>
    <w:semiHidden/>
    <w:qFormat/>
    <w:uiPriority w:val="99"/>
    <w:rPr>
      <w:kern w:val="2"/>
      <w:sz w:val="18"/>
      <w:szCs w:val="18"/>
    </w:rPr>
  </w:style>
  <w:style w:type="character" w:customStyle="1" w:styleId="37">
    <w:name w:val="批注主题 Char1"/>
    <w:semiHidden/>
    <w:qFormat/>
    <w:uiPriority w:val="99"/>
    <w:rPr>
      <w:b/>
      <w:bCs/>
      <w:kern w:val="2"/>
      <w:sz w:val="21"/>
      <w:szCs w:val="22"/>
    </w:rPr>
  </w:style>
  <w:style w:type="character" w:customStyle="1" w:styleId="38">
    <w:name w:val="text"/>
    <w:basedOn w:val="24"/>
    <w:qFormat/>
    <w:uiPriority w:val="0"/>
  </w:style>
  <w:style w:type="character" w:customStyle="1" w:styleId="39">
    <w:name w:val="15"/>
    <w:qFormat/>
    <w:uiPriority w:val="99"/>
    <w:rPr>
      <w:rFonts w:ascii="Calibri" w:hAnsi="Calibri" w:cs="Calibri"/>
    </w:rPr>
  </w:style>
  <w:style w:type="character" w:customStyle="1" w:styleId="40">
    <w:name w:val="Plain Text Char"/>
    <w:locked/>
    <w:uiPriority w:val="99"/>
    <w:rPr>
      <w:rFonts w:ascii="宋体" w:hAnsi="Courier New" w:eastAsia="宋体" w:cs="宋体"/>
      <w:sz w:val="21"/>
      <w:szCs w:val="21"/>
    </w:rPr>
  </w:style>
  <w:style w:type="character" w:customStyle="1" w:styleId="41">
    <w:name w:val="标题 字符"/>
    <w:qFormat/>
    <w:uiPriority w:val="10"/>
    <w:rPr>
      <w:rFonts w:ascii="Cambria" w:hAnsi="Cambria" w:eastAsia="黑体" w:cs="Times New Roman"/>
      <w:bCs/>
      <w:sz w:val="30"/>
      <w:szCs w:val="32"/>
    </w:rPr>
  </w:style>
  <w:style w:type="character" w:customStyle="1" w:styleId="42">
    <w:name w:val="Plain Text Char1"/>
    <w:semiHidden/>
    <w:qFormat/>
    <w:locked/>
    <w:uiPriority w:val="99"/>
    <w:rPr>
      <w:rFonts w:ascii="宋体" w:hAnsi="Courier New" w:cs="宋体"/>
      <w:sz w:val="21"/>
      <w:szCs w:val="21"/>
    </w:rPr>
  </w:style>
  <w:style w:type="character" w:customStyle="1" w:styleId="43">
    <w:name w:val="纯文本 Char"/>
    <w:link w:val="11"/>
    <w:qFormat/>
    <w:uiPriority w:val="99"/>
    <w:rPr>
      <w:rFonts w:ascii="宋体" w:hAnsi="Courier New"/>
      <w:szCs w:val="24"/>
    </w:rPr>
  </w:style>
  <w:style w:type="character" w:customStyle="1" w:styleId="44">
    <w:name w:val="批注框文本 Char"/>
    <w:link w:val="13"/>
    <w:semiHidden/>
    <w:qFormat/>
    <w:locked/>
    <w:uiPriority w:val="99"/>
    <w:rPr>
      <w:rFonts w:ascii="Times New Roman" w:hAnsi="Times New Roman"/>
      <w:sz w:val="18"/>
      <w:szCs w:val="18"/>
    </w:rPr>
  </w:style>
  <w:style w:type="character" w:customStyle="1" w:styleId="45">
    <w:name w:val="Header Char1"/>
    <w:semiHidden/>
    <w:qFormat/>
    <w:locked/>
    <w:uiPriority w:val="99"/>
    <w:rPr>
      <w:rFonts w:ascii="Times New Roman" w:hAnsi="Times New Roman" w:cs="Times New Roman"/>
      <w:sz w:val="18"/>
      <w:szCs w:val="18"/>
    </w:rPr>
  </w:style>
  <w:style w:type="character" w:customStyle="1" w:styleId="46">
    <w:name w:val="font91"/>
    <w:qFormat/>
    <w:uiPriority w:val="99"/>
    <w:rPr>
      <w:rFonts w:ascii="宋体" w:hAnsi="宋体" w:eastAsia="宋体" w:cs="宋体"/>
      <w:color w:val="000000"/>
      <w:sz w:val="18"/>
      <w:szCs w:val="18"/>
      <w:u w:val="none"/>
    </w:rPr>
  </w:style>
  <w:style w:type="character" w:customStyle="1" w:styleId="47">
    <w:name w:val="HTML 预设格式 Char1"/>
    <w:semiHidden/>
    <w:uiPriority w:val="99"/>
    <w:rPr>
      <w:rFonts w:ascii="Courier New" w:hAnsi="Courier New" w:cs="Courier New"/>
      <w:kern w:val="2"/>
    </w:rPr>
  </w:style>
  <w:style w:type="character" w:customStyle="1" w:styleId="48">
    <w:name w:val="font21"/>
    <w:qFormat/>
    <w:uiPriority w:val="99"/>
    <w:rPr>
      <w:rFonts w:ascii="宋体" w:hAnsi="宋体" w:eastAsia="宋体" w:cs="宋体"/>
      <w:color w:val="000000"/>
      <w:sz w:val="28"/>
      <w:szCs w:val="28"/>
      <w:u w:val="none"/>
    </w:rPr>
  </w:style>
  <w:style w:type="character" w:customStyle="1" w:styleId="49">
    <w:name w:val="列出段落 Char"/>
    <w:link w:val="50"/>
    <w:qFormat/>
    <w:locked/>
    <w:uiPriority w:val="99"/>
    <w:rPr>
      <w:rFonts w:ascii="Times New Roman" w:hAnsi="Times New Roman"/>
      <w:szCs w:val="24"/>
    </w:rPr>
  </w:style>
  <w:style w:type="paragraph" w:customStyle="1" w:styleId="50">
    <w:name w:val="列出段落1"/>
    <w:basedOn w:val="1"/>
    <w:link w:val="49"/>
    <w:qFormat/>
    <w:uiPriority w:val="99"/>
    <w:pPr>
      <w:ind w:firstLine="420" w:firstLineChars="200"/>
    </w:pPr>
    <w:rPr>
      <w:rFonts w:eastAsiaTheme="minorEastAsia" w:cstheme="minorBidi"/>
      <w:szCs w:val="24"/>
    </w:rPr>
  </w:style>
  <w:style w:type="character" w:customStyle="1" w:styleId="51">
    <w:name w:val="批注文字 Char1"/>
    <w:semiHidden/>
    <w:qFormat/>
    <w:uiPriority w:val="99"/>
    <w:rPr>
      <w:kern w:val="2"/>
      <w:sz w:val="21"/>
      <w:szCs w:val="22"/>
    </w:rPr>
  </w:style>
  <w:style w:type="character" w:customStyle="1" w:styleId="52">
    <w:name w:val="标题 Char"/>
    <w:link w:val="20"/>
    <w:qFormat/>
    <w:uiPriority w:val="10"/>
    <w:rPr>
      <w:rFonts w:ascii="Cambria" w:hAnsi="Cambria" w:eastAsia="黑体"/>
      <w:bCs/>
      <w:sz w:val="30"/>
      <w:szCs w:val="32"/>
    </w:rPr>
  </w:style>
  <w:style w:type="character" w:customStyle="1" w:styleId="53">
    <w:name w:val="正文文本缩进 Char"/>
    <w:link w:val="8"/>
    <w:qFormat/>
    <w:uiPriority w:val="99"/>
    <w:rPr>
      <w:rFonts w:ascii="Times New Roman" w:hAnsi="Times New Roman"/>
      <w:szCs w:val="24"/>
    </w:rPr>
  </w:style>
  <w:style w:type="character" w:customStyle="1" w:styleId="54">
    <w:name w:val="font01"/>
    <w:uiPriority w:val="99"/>
    <w:rPr>
      <w:rFonts w:hint="eastAsia" w:ascii="宋体" w:hAnsi="宋体" w:eastAsia="宋体" w:cs="宋体"/>
      <w:color w:val="000000"/>
      <w:sz w:val="24"/>
      <w:szCs w:val="24"/>
      <w:u w:val="none"/>
    </w:rPr>
  </w:style>
  <w:style w:type="character" w:customStyle="1" w:styleId="55">
    <w:name w:val="apple-converted-space"/>
    <w:qFormat/>
    <w:uiPriority w:val="99"/>
    <w:rPr>
      <w:rFonts w:cs="Times New Roman"/>
    </w:rPr>
  </w:style>
  <w:style w:type="character" w:customStyle="1" w:styleId="56">
    <w:name w:val="HTML 预设格式 Char"/>
    <w:link w:val="18"/>
    <w:qFormat/>
    <w:locked/>
    <w:uiPriority w:val="99"/>
    <w:rPr>
      <w:rFonts w:ascii="宋体" w:hAnsi="宋体" w:cs="宋体"/>
      <w:sz w:val="24"/>
      <w:szCs w:val="24"/>
    </w:rPr>
  </w:style>
  <w:style w:type="character" w:customStyle="1" w:styleId="57">
    <w:name w:val="批注主题 Char"/>
    <w:link w:val="21"/>
    <w:semiHidden/>
    <w:qFormat/>
    <w:locked/>
    <w:uiPriority w:val="99"/>
    <w:rPr>
      <w:rFonts w:ascii="Times New Roman" w:hAnsi="Times New Roman"/>
      <w:b/>
      <w:bCs/>
      <w:szCs w:val="21"/>
    </w:rPr>
  </w:style>
  <w:style w:type="character" w:customStyle="1" w:styleId="58">
    <w:name w:val="Char Char4"/>
    <w:qFormat/>
    <w:locked/>
    <w:uiPriority w:val="99"/>
    <w:rPr>
      <w:rFonts w:eastAsia="宋体"/>
      <w:b/>
      <w:bCs/>
      <w:kern w:val="44"/>
      <w:sz w:val="44"/>
      <w:szCs w:val="44"/>
      <w:lang w:val="en-US" w:eastAsia="zh-CN"/>
    </w:rPr>
  </w:style>
  <w:style w:type="character" w:customStyle="1" w:styleId="59">
    <w:name w:val="Header Char"/>
    <w:qFormat/>
    <w:locked/>
    <w:uiPriority w:val="99"/>
    <w:rPr>
      <w:sz w:val="18"/>
      <w:szCs w:val="18"/>
    </w:rPr>
  </w:style>
  <w:style w:type="character" w:customStyle="1" w:styleId="60">
    <w:name w:val="批注文字 字符"/>
    <w:qFormat/>
    <w:uiPriority w:val="0"/>
    <w:rPr>
      <w:rFonts w:ascii="Times New Roman" w:hAnsi="Times New Roman"/>
      <w:kern w:val="2"/>
      <w:sz w:val="21"/>
      <w:szCs w:val="24"/>
    </w:rPr>
  </w:style>
  <w:style w:type="character" w:customStyle="1" w:styleId="61">
    <w:name w:val="页眉 Char"/>
    <w:link w:val="15"/>
    <w:uiPriority w:val="99"/>
    <w:rPr>
      <w:sz w:val="18"/>
      <w:szCs w:val="18"/>
    </w:rPr>
  </w:style>
  <w:style w:type="character" w:customStyle="1" w:styleId="62">
    <w:name w:val="Footer Char"/>
    <w:qFormat/>
    <w:locked/>
    <w:uiPriority w:val="99"/>
    <w:rPr>
      <w:sz w:val="18"/>
      <w:szCs w:val="18"/>
    </w:rPr>
  </w:style>
  <w:style w:type="character" w:customStyle="1" w:styleId="63">
    <w:name w:val="页脚 Char"/>
    <w:link w:val="14"/>
    <w:qFormat/>
    <w:uiPriority w:val="0"/>
    <w:rPr>
      <w:sz w:val="18"/>
      <w:szCs w:val="18"/>
    </w:rPr>
  </w:style>
  <w:style w:type="character" w:customStyle="1" w:styleId="64">
    <w:name w:val="正文文本缩进 2 Char"/>
    <w:link w:val="12"/>
    <w:locked/>
    <w:uiPriority w:val="99"/>
    <w:rPr>
      <w:rFonts w:ascii="Times New Roman" w:hAnsi="Times New Roman"/>
      <w:sz w:val="24"/>
      <w:szCs w:val="24"/>
    </w:rPr>
  </w:style>
  <w:style w:type="character" w:customStyle="1" w:styleId="65">
    <w:name w:val="Footer Char1"/>
    <w:semiHidden/>
    <w:qFormat/>
    <w:locked/>
    <w:uiPriority w:val="99"/>
    <w:rPr>
      <w:rFonts w:ascii="Times New Roman" w:hAnsi="Times New Roman" w:cs="Times New Roman"/>
      <w:sz w:val="18"/>
      <w:szCs w:val="18"/>
    </w:rPr>
  </w:style>
  <w:style w:type="character" w:customStyle="1" w:styleId="66">
    <w:name w:val="Title Char"/>
    <w:qFormat/>
    <w:locked/>
    <w:uiPriority w:val="0"/>
    <w:rPr>
      <w:rFonts w:ascii="Cambria" w:hAnsi="Cambria" w:eastAsia="黑体"/>
      <w:sz w:val="32"/>
    </w:rPr>
  </w:style>
  <w:style w:type="character" w:customStyle="1" w:styleId="67">
    <w:name w:val="正文文本缩进 2 Char1"/>
    <w:semiHidden/>
    <w:qFormat/>
    <w:uiPriority w:val="99"/>
    <w:rPr>
      <w:kern w:val="2"/>
      <w:sz w:val="21"/>
      <w:szCs w:val="22"/>
    </w:rPr>
  </w:style>
  <w:style w:type="character" w:customStyle="1" w:styleId="68">
    <w:name w:val="font11"/>
    <w:qFormat/>
    <w:uiPriority w:val="99"/>
    <w:rPr>
      <w:rFonts w:ascii="宋体" w:hAnsi="宋体" w:eastAsia="宋体" w:cs="宋体"/>
      <w:color w:val="000000"/>
      <w:sz w:val="18"/>
      <w:szCs w:val="18"/>
      <w:u w:val="none"/>
    </w:rPr>
  </w:style>
  <w:style w:type="character" w:customStyle="1" w:styleId="69">
    <w:name w:val="Char Char8"/>
    <w:qFormat/>
    <w:locked/>
    <w:uiPriority w:val="99"/>
    <w:rPr>
      <w:rFonts w:eastAsia="宋体"/>
      <w:b/>
      <w:bCs/>
      <w:kern w:val="44"/>
      <w:sz w:val="44"/>
      <w:szCs w:val="44"/>
      <w:lang w:val="en-US" w:eastAsia="zh-CN"/>
    </w:rPr>
  </w:style>
  <w:style w:type="character" w:customStyle="1" w:styleId="70">
    <w:name w:val="批注文字 Char"/>
    <w:qFormat/>
    <w:locked/>
    <w:uiPriority w:val="99"/>
    <w:rPr>
      <w:kern w:val="2"/>
      <w:sz w:val="24"/>
      <w:szCs w:val="24"/>
    </w:rPr>
  </w:style>
  <w:style w:type="character" w:customStyle="1" w:styleId="71">
    <w:name w:val="font161"/>
    <w:uiPriority w:val="0"/>
    <w:rPr>
      <w:rFonts w:hint="eastAsia" w:ascii="宋体" w:hAnsi="宋体" w:eastAsia="宋体" w:cs="宋体"/>
      <w:color w:val="000000"/>
      <w:sz w:val="18"/>
      <w:szCs w:val="18"/>
      <w:u w:val="none"/>
    </w:rPr>
  </w:style>
  <w:style w:type="character" w:customStyle="1" w:styleId="72">
    <w:name w:val="font41"/>
    <w:qFormat/>
    <w:uiPriority w:val="99"/>
    <w:rPr>
      <w:rFonts w:ascii="宋体" w:hAnsi="宋体" w:eastAsia="宋体" w:cs="宋体"/>
      <w:color w:val="000000"/>
      <w:sz w:val="28"/>
      <w:szCs w:val="28"/>
      <w:u w:val="single"/>
    </w:rPr>
  </w:style>
  <w:style w:type="character" w:customStyle="1" w:styleId="73">
    <w:name w:val="正文文本 3 Char"/>
    <w:basedOn w:val="24"/>
    <w:link w:val="7"/>
    <w:qFormat/>
    <w:uiPriority w:val="0"/>
    <w:rPr>
      <w:rFonts w:ascii="Times New Roman" w:hAnsi="Times New Roman" w:eastAsia="宋体" w:cs="Times New Roman"/>
      <w:sz w:val="16"/>
      <w:szCs w:val="16"/>
    </w:rPr>
  </w:style>
  <w:style w:type="character" w:customStyle="1" w:styleId="74">
    <w:name w:val="批注文字 Char2"/>
    <w:basedOn w:val="24"/>
    <w:link w:val="6"/>
    <w:semiHidden/>
    <w:qFormat/>
    <w:uiPriority w:val="99"/>
    <w:rPr>
      <w:rFonts w:ascii="Times New Roman" w:hAnsi="Times New Roman" w:eastAsia="宋体" w:cs="Times New Roman"/>
    </w:rPr>
  </w:style>
  <w:style w:type="character" w:customStyle="1" w:styleId="75">
    <w:name w:val="批注主题 Char2"/>
    <w:basedOn w:val="74"/>
    <w:semiHidden/>
    <w:qFormat/>
    <w:uiPriority w:val="99"/>
    <w:rPr>
      <w:rFonts w:ascii="Times New Roman" w:hAnsi="Times New Roman" w:eastAsia="宋体" w:cs="Times New Roman"/>
      <w:b/>
      <w:bCs/>
    </w:rPr>
  </w:style>
  <w:style w:type="character" w:customStyle="1" w:styleId="76">
    <w:name w:val="批注框文本 Char2"/>
    <w:basedOn w:val="24"/>
    <w:semiHidden/>
    <w:qFormat/>
    <w:uiPriority w:val="99"/>
    <w:rPr>
      <w:rFonts w:ascii="Times New Roman" w:hAnsi="Times New Roman" w:eastAsia="宋体" w:cs="Times New Roman"/>
      <w:sz w:val="18"/>
      <w:szCs w:val="18"/>
    </w:rPr>
  </w:style>
  <w:style w:type="character" w:customStyle="1" w:styleId="77">
    <w:name w:val="HTML 预设格式 Char2"/>
    <w:basedOn w:val="24"/>
    <w:semiHidden/>
    <w:qFormat/>
    <w:uiPriority w:val="99"/>
    <w:rPr>
      <w:rFonts w:ascii="Courier New" w:hAnsi="Courier New" w:eastAsia="宋体" w:cs="Courier New"/>
      <w:sz w:val="20"/>
      <w:szCs w:val="20"/>
    </w:rPr>
  </w:style>
  <w:style w:type="character" w:customStyle="1" w:styleId="78">
    <w:name w:val="正文文本缩进 Char1"/>
    <w:basedOn w:val="24"/>
    <w:semiHidden/>
    <w:uiPriority w:val="99"/>
    <w:rPr>
      <w:rFonts w:ascii="Times New Roman" w:hAnsi="Times New Roman" w:eastAsia="宋体" w:cs="Times New Roman"/>
    </w:rPr>
  </w:style>
  <w:style w:type="character" w:customStyle="1" w:styleId="79">
    <w:name w:val="正文文本缩进 2 Char2"/>
    <w:basedOn w:val="24"/>
    <w:semiHidden/>
    <w:qFormat/>
    <w:uiPriority w:val="99"/>
    <w:rPr>
      <w:rFonts w:ascii="Times New Roman" w:hAnsi="Times New Roman" w:eastAsia="宋体" w:cs="Times New Roman"/>
    </w:rPr>
  </w:style>
  <w:style w:type="paragraph" w:customStyle="1" w:styleId="80">
    <w:name w:val="xl11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81">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18"/>
      <w:szCs w:val="18"/>
    </w:rPr>
  </w:style>
  <w:style w:type="character" w:customStyle="1" w:styleId="82">
    <w:name w:val="页眉 Char1"/>
    <w:basedOn w:val="24"/>
    <w:semiHidden/>
    <w:qFormat/>
    <w:uiPriority w:val="99"/>
    <w:rPr>
      <w:rFonts w:ascii="Times New Roman" w:hAnsi="Times New Roman" w:eastAsia="宋体" w:cs="Times New Roman"/>
      <w:sz w:val="18"/>
      <w:szCs w:val="18"/>
    </w:rPr>
  </w:style>
  <w:style w:type="character" w:customStyle="1" w:styleId="83">
    <w:name w:val="文档结构图 Char"/>
    <w:basedOn w:val="24"/>
    <w:link w:val="5"/>
    <w:semiHidden/>
    <w:qFormat/>
    <w:uiPriority w:val="0"/>
    <w:rPr>
      <w:rFonts w:ascii="Times New Roman" w:hAnsi="Times New Roman" w:eastAsia="宋体" w:cs="Times New Roman"/>
      <w:shd w:val="clear" w:color="auto" w:fill="000080"/>
    </w:rPr>
  </w:style>
  <w:style w:type="character" w:customStyle="1" w:styleId="84">
    <w:name w:val="页脚 Char1"/>
    <w:basedOn w:val="24"/>
    <w:semiHidden/>
    <w:uiPriority w:val="99"/>
    <w:rPr>
      <w:rFonts w:ascii="Times New Roman" w:hAnsi="Times New Roman" w:eastAsia="宋体" w:cs="Times New Roman"/>
      <w:sz w:val="18"/>
      <w:szCs w:val="18"/>
    </w:rPr>
  </w:style>
  <w:style w:type="character" w:customStyle="1" w:styleId="85">
    <w:name w:val="纯文本 Char1"/>
    <w:basedOn w:val="24"/>
    <w:semiHidden/>
    <w:qFormat/>
    <w:uiPriority w:val="99"/>
    <w:rPr>
      <w:rFonts w:ascii="宋体" w:hAnsi="Courier New" w:eastAsia="宋体" w:cs="Courier New"/>
      <w:szCs w:val="21"/>
    </w:rPr>
  </w:style>
  <w:style w:type="character" w:customStyle="1" w:styleId="86">
    <w:name w:val="标题 Char1"/>
    <w:basedOn w:val="24"/>
    <w:qFormat/>
    <w:uiPriority w:val="10"/>
    <w:rPr>
      <w:rFonts w:eastAsia="宋体" w:asciiTheme="majorHAnsi" w:hAnsiTheme="majorHAnsi" w:cstheme="majorBidi"/>
      <w:b/>
      <w:bCs/>
      <w:sz w:val="32"/>
      <w:szCs w:val="32"/>
    </w:rPr>
  </w:style>
  <w:style w:type="paragraph" w:customStyle="1" w:styleId="87">
    <w:name w:val="xl95"/>
    <w:basedOn w:val="1"/>
    <w:qFormat/>
    <w:uiPriority w:val="99"/>
    <w:pPr>
      <w:widowControl/>
      <w:spacing w:before="100" w:beforeAutospacing="1" w:after="100" w:afterAutospacing="1"/>
      <w:jc w:val="center"/>
    </w:pPr>
    <w:rPr>
      <w:rFonts w:ascii="宋体" w:hAnsi="宋体" w:cs="宋体"/>
      <w:kern w:val="0"/>
      <w:sz w:val="18"/>
      <w:szCs w:val="18"/>
    </w:rPr>
  </w:style>
  <w:style w:type="paragraph" w:customStyle="1" w:styleId="88">
    <w:name w:val="xl10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89">
    <w:name w:val="et7"/>
    <w:basedOn w:val="1"/>
    <w:qFormat/>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90">
    <w:name w:val="xl11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91">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2">
    <w:name w:val="xl107"/>
    <w:basedOn w:val="1"/>
    <w:uiPriority w:val="99"/>
    <w:pPr>
      <w:widowControl/>
      <w:spacing w:before="100" w:beforeAutospacing="1" w:after="100" w:afterAutospacing="1"/>
      <w:jc w:val="center"/>
    </w:pPr>
    <w:rPr>
      <w:rFonts w:ascii="宋体" w:hAnsi="宋体" w:cs="宋体"/>
      <w:color w:val="000000"/>
      <w:kern w:val="0"/>
      <w:sz w:val="20"/>
      <w:szCs w:val="20"/>
    </w:rPr>
  </w:style>
  <w:style w:type="paragraph" w:customStyle="1" w:styleId="93">
    <w:name w:val="xl128"/>
    <w:basedOn w:val="1"/>
    <w:uiPriority w:val="99"/>
    <w:pPr>
      <w:widowControl/>
      <w:pBdr>
        <w:top w:val="single" w:color="auto" w:sz="4" w:space="0"/>
        <w:bottom w:val="single" w:color="auto" w:sz="4" w:space="0"/>
        <w:right w:val="single" w:color="auto" w:sz="4" w:space="0"/>
      </w:pBdr>
      <w:shd w:val="clear" w:color="000000" w:fill="1FB714"/>
      <w:spacing w:before="100" w:beforeAutospacing="1" w:after="100" w:afterAutospacing="1"/>
      <w:jc w:val="left"/>
    </w:pPr>
    <w:rPr>
      <w:rFonts w:ascii="宋体" w:hAnsi="宋体" w:cs="宋体"/>
      <w:kern w:val="0"/>
      <w:szCs w:val="21"/>
    </w:rPr>
  </w:style>
  <w:style w:type="paragraph" w:customStyle="1" w:styleId="94">
    <w:name w:val="xl131"/>
    <w:basedOn w:val="1"/>
    <w:uiPriority w:val="99"/>
    <w:pPr>
      <w:widowControl/>
      <w:pBdr>
        <w:top w:val="single" w:color="auto" w:sz="4" w:space="0"/>
        <w:left w:val="single" w:color="auto" w:sz="4" w:space="0"/>
        <w:bottom w:val="single" w:color="auto" w:sz="4" w:space="0"/>
      </w:pBdr>
      <w:shd w:val="clear" w:color="000000" w:fill="1FB714"/>
      <w:spacing w:before="100" w:beforeAutospacing="1" w:after="100" w:afterAutospacing="1"/>
      <w:jc w:val="center"/>
    </w:pPr>
    <w:rPr>
      <w:rFonts w:ascii="宋体" w:hAnsi="宋体" w:cs="宋体"/>
      <w:b/>
      <w:bCs/>
      <w:kern w:val="0"/>
      <w:szCs w:val="21"/>
    </w:rPr>
  </w:style>
  <w:style w:type="paragraph" w:customStyle="1" w:styleId="95">
    <w:name w:val="et6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96">
    <w:name w:val="xl157"/>
    <w:basedOn w:val="1"/>
    <w:uiPriority w:val="99"/>
    <w:pPr>
      <w:widowControl/>
      <w:pBdr>
        <w:top w:val="single" w:color="auto" w:sz="4" w:space="0"/>
        <w:bottom w:val="single" w:color="auto" w:sz="4" w:space="0"/>
        <w:right w:val="single" w:color="auto" w:sz="4" w:space="0"/>
      </w:pBdr>
      <w:shd w:val="clear" w:color="000000" w:fill="FF9900"/>
      <w:spacing w:before="100" w:beforeAutospacing="1" w:after="100" w:afterAutospacing="1"/>
      <w:jc w:val="center"/>
    </w:pPr>
    <w:rPr>
      <w:rFonts w:ascii="宋体" w:hAnsi="宋体" w:cs="宋体"/>
      <w:kern w:val="0"/>
      <w:sz w:val="20"/>
      <w:szCs w:val="20"/>
    </w:rPr>
  </w:style>
  <w:style w:type="paragraph" w:customStyle="1" w:styleId="97">
    <w:name w:val="List Paragraph1"/>
    <w:basedOn w:val="1"/>
    <w:uiPriority w:val="0"/>
    <w:pPr>
      <w:ind w:firstLine="420" w:firstLineChars="200"/>
    </w:pPr>
    <w:rPr>
      <w:szCs w:val="21"/>
    </w:rPr>
  </w:style>
  <w:style w:type="paragraph" w:customStyle="1" w:styleId="98">
    <w:name w:val="et5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99">
    <w:name w:val="xl141"/>
    <w:basedOn w:val="1"/>
    <w:uiPriority w:val="99"/>
    <w:pPr>
      <w:widowControl/>
      <w:pBdr>
        <w:top w:val="single" w:color="auto" w:sz="4" w:space="0"/>
        <w:bottom w:val="single" w:color="auto" w:sz="4" w:space="0"/>
        <w:right w:val="single" w:color="auto" w:sz="4" w:space="0"/>
      </w:pBdr>
      <w:shd w:val="clear" w:color="000000" w:fill="99CC00"/>
      <w:spacing w:before="100" w:beforeAutospacing="1" w:after="100" w:afterAutospacing="1"/>
      <w:jc w:val="center"/>
    </w:pPr>
    <w:rPr>
      <w:rFonts w:ascii="宋体" w:hAnsi="宋体" w:cs="宋体"/>
      <w:kern w:val="0"/>
      <w:szCs w:val="21"/>
    </w:rPr>
  </w:style>
  <w:style w:type="paragraph" w:customStyle="1" w:styleId="100">
    <w:name w:val="et2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1">
    <w:name w:val="et4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2">
    <w:name w:val="Char Char6"/>
    <w:basedOn w:val="1"/>
    <w:uiPriority w:val="0"/>
    <w:pPr>
      <w:widowControl/>
      <w:spacing w:after="160" w:line="240" w:lineRule="exact"/>
      <w:jc w:val="left"/>
    </w:pPr>
    <w:rPr>
      <w:szCs w:val="20"/>
    </w:rPr>
  </w:style>
  <w:style w:type="paragraph" w:customStyle="1" w:styleId="103">
    <w:name w:val="et8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4">
    <w:name w:val="et7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5">
    <w:name w:val="et8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6">
    <w:name w:val="et6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7">
    <w:name w:val="xl96"/>
    <w:basedOn w:val="1"/>
    <w:uiPriority w:val="99"/>
    <w:pPr>
      <w:widowControl/>
      <w:pBdr>
        <w:top w:val="single" w:color="auto" w:sz="4" w:space="0"/>
        <w:left w:val="single" w:color="auto" w:sz="4" w:space="0"/>
        <w:bottom w:val="single" w:color="auto" w:sz="4" w:space="0"/>
        <w:right w:val="single" w:color="auto" w:sz="4" w:space="0"/>
      </w:pBdr>
      <w:shd w:val="clear" w:color="000000" w:fill="1FB714"/>
      <w:spacing w:before="100" w:beforeAutospacing="1" w:after="100" w:afterAutospacing="1"/>
      <w:jc w:val="center"/>
    </w:pPr>
    <w:rPr>
      <w:rFonts w:ascii="宋体" w:hAnsi="宋体" w:cs="宋体"/>
      <w:kern w:val="0"/>
      <w:szCs w:val="21"/>
    </w:rPr>
  </w:style>
  <w:style w:type="paragraph" w:customStyle="1" w:styleId="108">
    <w:name w:val="et4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09">
    <w:name w:val="et9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0">
    <w:name w:val="et8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1">
    <w:name w:val="et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2">
    <w:name w:val="et9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3">
    <w:name w:val="样式"/>
    <w:basedOn w:val="1"/>
    <w:next w:val="114"/>
    <w:uiPriority w:val="0"/>
    <w:pPr>
      <w:ind w:firstLine="420" w:firstLineChars="200"/>
    </w:pPr>
    <w:rPr>
      <w:szCs w:val="24"/>
    </w:rPr>
  </w:style>
  <w:style w:type="paragraph" w:customStyle="1" w:styleId="114">
    <w:name w:val="List Paragraph2"/>
    <w:basedOn w:val="1"/>
    <w:qFormat/>
    <w:uiPriority w:val="99"/>
    <w:pPr>
      <w:ind w:firstLine="420" w:firstLineChars="200"/>
    </w:pPr>
    <w:rPr>
      <w:szCs w:val="21"/>
    </w:rPr>
  </w:style>
  <w:style w:type="paragraph" w:customStyle="1" w:styleId="115">
    <w:name w:val="et2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16">
    <w:name w:val="et64"/>
    <w:basedOn w:val="1"/>
    <w:uiPriority w:val="99"/>
    <w:pPr>
      <w:widowControl/>
      <w:spacing w:before="100" w:beforeAutospacing="1" w:after="100" w:afterAutospacing="1"/>
      <w:jc w:val="left"/>
      <w:textAlignment w:val="center"/>
    </w:pPr>
    <w:rPr>
      <w:color w:val="000000"/>
      <w:kern w:val="0"/>
      <w:sz w:val="24"/>
      <w:szCs w:val="24"/>
    </w:rPr>
  </w:style>
  <w:style w:type="paragraph" w:customStyle="1" w:styleId="117">
    <w:name w:val="xl149"/>
    <w:basedOn w:val="1"/>
    <w:uiPriority w:val="99"/>
    <w:pPr>
      <w:widowControl/>
      <w:pBdr>
        <w:right w:val="single" w:color="auto" w:sz="4" w:space="0"/>
      </w:pBdr>
      <w:spacing w:before="100" w:beforeAutospacing="1" w:after="100" w:afterAutospacing="1"/>
      <w:jc w:val="center"/>
    </w:pPr>
    <w:rPr>
      <w:rFonts w:ascii="宋体" w:hAnsi="宋体" w:cs="宋体"/>
      <w:b/>
      <w:bCs/>
      <w:kern w:val="0"/>
      <w:szCs w:val="21"/>
    </w:rPr>
  </w:style>
  <w:style w:type="paragraph" w:customStyle="1" w:styleId="118">
    <w:name w:val="xl15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119">
    <w:name w:val="xl137"/>
    <w:basedOn w:val="1"/>
    <w:uiPriority w:val="99"/>
    <w:pPr>
      <w:widowControl/>
      <w:pBdr>
        <w:top w:val="single" w:color="auto" w:sz="4" w:space="0"/>
        <w:bottom w:val="single" w:color="auto" w:sz="4" w:space="0"/>
      </w:pBdr>
      <w:shd w:val="clear" w:color="000000" w:fill="99CC00"/>
      <w:spacing w:before="100" w:beforeAutospacing="1" w:after="100" w:afterAutospacing="1"/>
      <w:jc w:val="center"/>
    </w:pPr>
    <w:rPr>
      <w:rFonts w:ascii="宋体" w:hAnsi="宋体" w:cs="宋体"/>
      <w:b/>
      <w:bCs/>
      <w:kern w:val="0"/>
      <w:szCs w:val="21"/>
    </w:rPr>
  </w:style>
  <w:style w:type="paragraph" w:customStyle="1" w:styleId="120">
    <w:name w:val="xl147"/>
    <w:basedOn w:val="1"/>
    <w:uiPriority w:val="99"/>
    <w:pPr>
      <w:widowControl/>
      <w:pBdr>
        <w:top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121">
    <w:name w:val="et6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22">
    <w:name w:val="et6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23">
    <w:name w:val="et3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24">
    <w:name w:val="et4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25">
    <w:name w:val="xl10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26">
    <w:name w:val="xl140"/>
    <w:basedOn w:val="1"/>
    <w:uiPriority w:val="99"/>
    <w:pPr>
      <w:widowControl/>
      <w:pBdr>
        <w:top w:val="single" w:color="auto" w:sz="4" w:space="0"/>
        <w:bottom w:val="single" w:color="auto" w:sz="4" w:space="0"/>
      </w:pBdr>
      <w:shd w:val="clear" w:color="000000" w:fill="99CC00"/>
      <w:spacing w:before="100" w:beforeAutospacing="1" w:after="100" w:afterAutospacing="1"/>
      <w:jc w:val="center"/>
    </w:pPr>
    <w:rPr>
      <w:rFonts w:ascii="宋体" w:hAnsi="宋体" w:cs="宋体"/>
      <w:kern w:val="0"/>
      <w:szCs w:val="21"/>
    </w:rPr>
  </w:style>
  <w:style w:type="paragraph" w:customStyle="1" w:styleId="127">
    <w:name w:val="xl12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8">
    <w:name w:val="xl118"/>
    <w:basedOn w:val="1"/>
    <w:uiPriority w:val="99"/>
    <w:pPr>
      <w:widowControl/>
      <w:pBdr>
        <w:top w:val="single" w:color="auto" w:sz="4" w:space="0"/>
        <w:left w:val="single" w:color="auto" w:sz="4" w:space="0"/>
        <w:bottom w:val="single" w:color="auto" w:sz="4" w:space="0"/>
        <w:right w:val="single" w:color="auto" w:sz="4" w:space="0"/>
      </w:pBdr>
      <w:shd w:val="clear" w:color="000000" w:fill="FF9900"/>
      <w:spacing w:before="100" w:beforeAutospacing="1" w:after="100" w:afterAutospacing="1"/>
      <w:jc w:val="center"/>
    </w:pPr>
    <w:rPr>
      <w:rFonts w:ascii="宋体" w:hAnsi="宋体" w:cs="宋体"/>
      <w:kern w:val="0"/>
      <w:sz w:val="20"/>
      <w:szCs w:val="20"/>
    </w:rPr>
  </w:style>
  <w:style w:type="paragraph" w:customStyle="1" w:styleId="129">
    <w:name w:val="xl11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color w:val="FFFF00"/>
      <w:kern w:val="0"/>
      <w:sz w:val="18"/>
      <w:szCs w:val="18"/>
    </w:rPr>
  </w:style>
  <w:style w:type="paragraph" w:customStyle="1" w:styleId="130">
    <w:name w:val="et9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31">
    <w:name w:val="et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32">
    <w:name w:val="xl103"/>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33">
    <w:name w:val="xl138"/>
    <w:basedOn w:val="1"/>
    <w:uiPriority w:val="99"/>
    <w:pPr>
      <w:widowControl/>
      <w:pBdr>
        <w:top w:val="single" w:color="auto" w:sz="4" w:space="0"/>
        <w:bottom w:val="single" w:color="auto" w:sz="4" w:space="0"/>
        <w:right w:val="single" w:color="auto" w:sz="4" w:space="0"/>
      </w:pBdr>
      <w:shd w:val="clear" w:color="000000" w:fill="99CC00"/>
      <w:spacing w:before="100" w:beforeAutospacing="1" w:after="100" w:afterAutospacing="1"/>
      <w:jc w:val="center"/>
    </w:pPr>
    <w:rPr>
      <w:rFonts w:ascii="宋体" w:hAnsi="宋体" w:cs="宋体"/>
      <w:b/>
      <w:bCs/>
      <w:kern w:val="0"/>
      <w:szCs w:val="21"/>
    </w:rPr>
  </w:style>
  <w:style w:type="paragraph" w:customStyle="1" w:styleId="134">
    <w:name w:val="et4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35">
    <w:name w:val="Char Char Char Char Char Char Char Char Char Char"/>
    <w:basedOn w:val="1"/>
    <w:uiPriority w:val="99"/>
    <w:pPr>
      <w:widowControl/>
      <w:spacing w:after="160" w:line="240" w:lineRule="exact"/>
      <w:jc w:val="left"/>
    </w:pPr>
    <w:rPr>
      <w:szCs w:val="21"/>
    </w:rPr>
  </w:style>
  <w:style w:type="paragraph" w:customStyle="1" w:styleId="136">
    <w:name w:val="et2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37">
    <w:name w:val="xl102"/>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38">
    <w:name w:val="xl155"/>
    <w:basedOn w:val="1"/>
    <w:uiPriority w:val="99"/>
    <w:pPr>
      <w:widowControl/>
      <w:pBdr>
        <w:top w:val="single" w:color="auto" w:sz="4" w:space="0"/>
        <w:left w:val="single" w:color="auto" w:sz="4" w:space="0"/>
        <w:bottom w:val="single" w:color="auto" w:sz="4" w:space="0"/>
      </w:pBdr>
      <w:shd w:val="clear" w:color="000000" w:fill="FF9900"/>
      <w:spacing w:before="100" w:beforeAutospacing="1" w:after="100" w:afterAutospacing="1"/>
      <w:jc w:val="center"/>
    </w:pPr>
    <w:rPr>
      <w:rFonts w:ascii="宋体" w:hAnsi="宋体" w:cs="宋体"/>
      <w:kern w:val="0"/>
      <w:sz w:val="20"/>
      <w:szCs w:val="20"/>
    </w:rPr>
  </w:style>
  <w:style w:type="paragraph" w:customStyle="1" w:styleId="139">
    <w:name w:val="et7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40">
    <w:name w:val="et4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41">
    <w:name w:val="xl9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42">
    <w:name w:val="et1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43">
    <w:name w:val="xl9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4">
    <w:name w:val="xl9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45">
    <w:name w:val="et9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46">
    <w:name w:val="et9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47">
    <w:name w:val="et1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48">
    <w:name w:val="et4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49">
    <w:name w:val="xl139"/>
    <w:basedOn w:val="1"/>
    <w:uiPriority w:val="99"/>
    <w:pPr>
      <w:widowControl/>
      <w:pBdr>
        <w:top w:val="single" w:color="auto" w:sz="4" w:space="0"/>
        <w:left w:val="single" w:color="auto" w:sz="4" w:space="0"/>
        <w:bottom w:val="single" w:color="auto" w:sz="4" w:space="0"/>
      </w:pBdr>
      <w:shd w:val="clear" w:color="000000" w:fill="99CC00"/>
      <w:spacing w:before="100" w:beforeAutospacing="1" w:after="100" w:afterAutospacing="1"/>
      <w:jc w:val="center"/>
    </w:pPr>
    <w:rPr>
      <w:rFonts w:ascii="宋体" w:hAnsi="宋体" w:cs="宋体"/>
      <w:kern w:val="0"/>
      <w:szCs w:val="21"/>
    </w:rPr>
  </w:style>
  <w:style w:type="paragraph" w:customStyle="1" w:styleId="150">
    <w:name w:val="xl123"/>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51">
    <w:name w:val="et2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52">
    <w:name w:val="xl10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53">
    <w:name w:val="et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54">
    <w:name w:val="xl156"/>
    <w:basedOn w:val="1"/>
    <w:uiPriority w:val="99"/>
    <w:pPr>
      <w:widowControl/>
      <w:pBdr>
        <w:top w:val="single" w:color="auto" w:sz="4" w:space="0"/>
        <w:bottom w:val="single" w:color="auto" w:sz="4" w:space="0"/>
      </w:pBdr>
      <w:shd w:val="clear" w:color="000000" w:fill="FF9900"/>
      <w:spacing w:before="100" w:beforeAutospacing="1" w:after="100" w:afterAutospacing="1"/>
      <w:jc w:val="center"/>
    </w:pPr>
    <w:rPr>
      <w:rFonts w:ascii="宋体" w:hAnsi="宋体" w:cs="宋体"/>
      <w:kern w:val="0"/>
      <w:sz w:val="20"/>
      <w:szCs w:val="20"/>
    </w:rPr>
  </w:style>
  <w:style w:type="paragraph" w:customStyle="1" w:styleId="155">
    <w:name w:val="et5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56">
    <w:name w:val="_Style 24"/>
    <w:next w:val="1"/>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57">
    <w:name w:val="Char Char Char Char Char Char Char Char Char Char1"/>
    <w:basedOn w:val="1"/>
    <w:uiPriority w:val="0"/>
    <w:pPr>
      <w:widowControl/>
      <w:spacing w:after="160" w:line="240" w:lineRule="exact"/>
      <w:jc w:val="left"/>
    </w:pPr>
    <w:rPr>
      <w:szCs w:val="20"/>
    </w:rPr>
  </w:style>
  <w:style w:type="paragraph" w:customStyle="1" w:styleId="158">
    <w:name w:val="et4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59">
    <w:name w:val="et5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0">
    <w:name w:val="列出段落2"/>
    <w:basedOn w:val="1"/>
    <w:qFormat/>
    <w:uiPriority w:val="99"/>
    <w:pPr>
      <w:ind w:firstLine="420" w:firstLineChars="200"/>
    </w:pPr>
    <w:rPr>
      <w:szCs w:val="21"/>
    </w:rPr>
  </w:style>
  <w:style w:type="paragraph" w:customStyle="1" w:styleId="161">
    <w:name w:val="xl112"/>
    <w:basedOn w:val="1"/>
    <w:uiPriority w:val="99"/>
    <w:pPr>
      <w:widowControl/>
      <w:pBdr>
        <w:top w:val="single" w:color="auto" w:sz="4" w:space="0"/>
        <w:left w:val="single" w:color="auto" w:sz="4" w:space="0"/>
        <w:bottom w:val="single" w:color="auto" w:sz="4" w:space="0"/>
        <w:right w:val="single" w:color="auto" w:sz="4" w:space="0"/>
      </w:pBdr>
      <w:shd w:val="clear" w:color="000000" w:fill="1FB714"/>
      <w:spacing w:before="100" w:beforeAutospacing="1" w:after="100" w:afterAutospacing="1"/>
      <w:jc w:val="left"/>
    </w:pPr>
    <w:rPr>
      <w:rFonts w:ascii="宋体" w:hAnsi="宋体" w:cs="宋体"/>
      <w:kern w:val="0"/>
      <w:szCs w:val="21"/>
    </w:rPr>
  </w:style>
  <w:style w:type="paragraph" w:customStyle="1" w:styleId="162">
    <w:name w:val="xl12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63">
    <w:name w:val="et5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4">
    <w:name w:val="font7"/>
    <w:basedOn w:val="1"/>
    <w:uiPriority w:val="99"/>
    <w:pPr>
      <w:widowControl/>
      <w:spacing w:before="100" w:beforeAutospacing="1" w:after="100" w:afterAutospacing="1"/>
      <w:jc w:val="left"/>
    </w:pPr>
    <w:rPr>
      <w:rFonts w:ascii="宋体" w:hAnsi="宋体" w:cs="宋体"/>
      <w:kern w:val="0"/>
      <w:szCs w:val="21"/>
    </w:rPr>
  </w:style>
  <w:style w:type="paragraph" w:customStyle="1" w:styleId="165">
    <w:name w:val="et1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6">
    <w:name w:val="xl109"/>
    <w:basedOn w:val="1"/>
    <w:uiPriority w:val="99"/>
    <w:pPr>
      <w:widowControl/>
      <w:pBdr>
        <w:top w:val="single" w:color="auto" w:sz="4" w:space="0"/>
        <w:left w:val="single" w:color="auto" w:sz="4" w:space="0"/>
        <w:bottom w:val="single" w:color="auto" w:sz="4" w:space="0"/>
        <w:right w:val="single" w:color="auto" w:sz="4" w:space="0"/>
      </w:pBdr>
      <w:shd w:val="clear" w:color="000000" w:fill="1FB714"/>
      <w:spacing w:before="100" w:beforeAutospacing="1" w:after="100" w:afterAutospacing="1"/>
      <w:jc w:val="center"/>
    </w:pPr>
    <w:rPr>
      <w:rFonts w:ascii="宋体" w:hAnsi="宋体" w:cs="宋体"/>
      <w:kern w:val="0"/>
      <w:szCs w:val="21"/>
    </w:rPr>
  </w:style>
  <w:style w:type="paragraph" w:customStyle="1" w:styleId="167">
    <w:name w:val="et7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8">
    <w:name w:val="et6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69">
    <w:name w:val="font5"/>
    <w:basedOn w:val="1"/>
    <w:uiPriority w:val="99"/>
    <w:pPr>
      <w:widowControl/>
      <w:spacing w:before="100" w:beforeAutospacing="1" w:after="100" w:afterAutospacing="1"/>
      <w:jc w:val="left"/>
    </w:pPr>
    <w:rPr>
      <w:rFonts w:ascii="宋体" w:hAnsi="宋体" w:cs="宋体"/>
      <w:kern w:val="0"/>
      <w:sz w:val="18"/>
      <w:szCs w:val="18"/>
    </w:rPr>
  </w:style>
  <w:style w:type="paragraph" w:customStyle="1" w:styleId="170">
    <w:name w:val="Char2"/>
    <w:basedOn w:val="1"/>
    <w:uiPriority w:val="0"/>
    <w:rPr>
      <w:rFonts w:ascii="等线" w:hAnsi="等线"/>
      <w:szCs w:val="24"/>
    </w:rPr>
  </w:style>
  <w:style w:type="paragraph" w:customStyle="1" w:styleId="171">
    <w:name w:val="xl119"/>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2">
    <w:name w:val="font2"/>
    <w:basedOn w:val="1"/>
    <w:uiPriority w:val="99"/>
    <w:pPr>
      <w:widowControl/>
      <w:spacing w:before="100" w:beforeAutospacing="1" w:after="100" w:afterAutospacing="1"/>
      <w:jc w:val="left"/>
    </w:pPr>
    <w:rPr>
      <w:rFonts w:ascii="宋体" w:hAnsi="宋体" w:cs="宋体"/>
      <w:color w:val="000000"/>
      <w:kern w:val="0"/>
      <w:sz w:val="28"/>
      <w:szCs w:val="28"/>
    </w:rPr>
  </w:style>
  <w:style w:type="paragraph" w:customStyle="1" w:styleId="173">
    <w:name w:val="xl134"/>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174">
    <w:name w:val="xl9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18"/>
      <w:szCs w:val="18"/>
    </w:rPr>
  </w:style>
  <w:style w:type="paragraph" w:customStyle="1" w:styleId="175">
    <w:name w:val="et4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76">
    <w:name w:val="xl151"/>
    <w:basedOn w:val="1"/>
    <w:uiPriority w:val="99"/>
    <w:pPr>
      <w:widowControl/>
      <w:pBdr>
        <w:top w:val="single" w:color="auto" w:sz="4" w:space="0"/>
        <w:bottom w:val="single" w:color="auto" w:sz="4" w:space="0"/>
      </w:pBdr>
      <w:spacing w:before="100" w:beforeAutospacing="1" w:after="100" w:afterAutospacing="1"/>
      <w:jc w:val="left"/>
    </w:pPr>
    <w:rPr>
      <w:rFonts w:ascii="宋体" w:hAnsi="宋体" w:cs="宋体"/>
      <w:kern w:val="0"/>
      <w:sz w:val="20"/>
      <w:szCs w:val="20"/>
    </w:rPr>
  </w:style>
  <w:style w:type="paragraph" w:customStyle="1" w:styleId="177">
    <w:name w:val="et7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78">
    <w:name w:val="et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79">
    <w:name w:val="font4"/>
    <w:basedOn w:val="1"/>
    <w:uiPriority w:val="99"/>
    <w:pPr>
      <w:widowControl/>
      <w:spacing w:before="100" w:beforeAutospacing="1" w:after="100" w:afterAutospacing="1"/>
      <w:jc w:val="left"/>
    </w:pPr>
    <w:rPr>
      <w:rFonts w:ascii="宋体" w:hAnsi="宋体" w:cs="宋体"/>
      <w:color w:val="000000"/>
      <w:kern w:val="0"/>
      <w:sz w:val="28"/>
      <w:szCs w:val="28"/>
      <w:u w:val="single"/>
    </w:rPr>
  </w:style>
  <w:style w:type="paragraph" w:customStyle="1" w:styleId="180">
    <w:name w:val="et5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1">
    <w:name w:val="xl125"/>
    <w:basedOn w:val="1"/>
    <w:uiPriority w:val="99"/>
    <w:pPr>
      <w:widowControl/>
      <w:pBdr>
        <w:top w:val="single" w:color="auto" w:sz="4" w:space="0"/>
        <w:left w:val="single" w:color="auto" w:sz="4" w:space="0"/>
        <w:bottom w:val="single" w:color="auto" w:sz="4" w:space="0"/>
        <w:right w:val="single" w:color="auto" w:sz="4" w:space="0"/>
      </w:pBdr>
      <w:shd w:val="clear" w:color="000000" w:fill="1FB714"/>
      <w:spacing w:before="100" w:beforeAutospacing="1" w:after="100" w:afterAutospacing="1"/>
      <w:jc w:val="center"/>
    </w:pPr>
    <w:rPr>
      <w:rFonts w:ascii="宋体" w:hAnsi="宋体" w:cs="宋体"/>
      <w:b/>
      <w:bCs/>
      <w:kern w:val="0"/>
      <w:szCs w:val="21"/>
    </w:rPr>
  </w:style>
  <w:style w:type="paragraph" w:customStyle="1" w:styleId="182">
    <w:name w:val="xl142"/>
    <w:basedOn w:val="1"/>
    <w:uiPriority w:val="99"/>
    <w:pPr>
      <w:widowControl/>
      <w:pBdr>
        <w:top w:val="single" w:color="auto" w:sz="4" w:space="0"/>
        <w:left w:val="single" w:color="auto" w:sz="4" w:space="0"/>
        <w:bottom w:val="single" w:color="auto" w:sz="4" w:space="0"/>
      </w:pBdr>
      <w:shd w:val="clear" w:color="000000" w:fill="FF9900"/>
      <w:spacing w:before="100" w:beforeAutospacing="1" w:after="100" w:afterAutospacing="1"/>
      <w:jc w:val="center"/>
    </w:pPr>
    <w:rPr>
      <w:rFonts w:ascii="宋体" w:hAnsi="宋体" w:cs="宋体"/>
      <w:b/>
      <w:bCs/>
      <w:kern w:val="0"/>
      <w:sz w:val="20"/>
      <w:szCs w:val="20"/>
    </w:rPr>
  </w:style>
  <w:style w:type="paragraph" w:customStyle="1" w:styleId="183">
    <w:name w:val="xl115"/>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top"/>
    </w:pPr>
    <w:rPr>
      <w:rFonts w:ascii="宋体" w:hAnsi="宋体" w:cs="宋体"/>
      <w:kern w:val="0"/>
      <w:sz w:val="18"/>
      <w:szCs w:val="18"/>
    </w:rPr>
  </w:style>
  <w:style w:type="paragraph" w:customStyle="1" w:styleId="184">
    <w:name w:val="Defaul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85">
    <w:name w:val="et3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6">
    <w:name w:val="et7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7">
    <w:name w:val="et8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8">
    <w:name w:val="et8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89">
    <w:name w:val="xl127"/>
    <w:basedOn w:val="1"/>
    <w:uiPriority w:val="99"/>
    <w:pPr>
      <w:widowControl/>
      <w:pBdr>
        <w:top w:val="single" w:color="auto" w:sz="4" w:space="0"/>
        <w:bottom w:val="single" w:color="auto" w:sz="4" w:space="0"/>
      </w:pBdr>
      <w:shd w:val="clear" w:color="000000" w:fill="1FB714"/>
      <w:spacing w:before="100" w:beforeAutospacing="1" w:after="100" w:afterAutospacing="1"/>
      <w:jc w:val="left"/>
    </w:pPr>
    <w:rPr>
      <w:rFonts w:ascii="宋体" w:hAnsi="宋体" w:cs="宋体"/>
      <w:kern w:val="0"/>
      <w:szCs w:val="21"/>
    </w:rPr>
  </w:style>
  <w:style w:type="paragraph" w:customStyle="1" w:styleId="190">
    <w:name w:val="xl133"/>
    <w:basedOn w:val="1"/>
    <w:uiPriority w:val="99"/>
    <w:pPr>
      <w:widowControl/>
      <w:pBdr>
        <w:top w:val="single" w:color="auto" w:sz="4" w:space="0"/>
        <w:bottom w:val="single" w:color="auto" w:sz="4" w:space="0"/>
        <w:right w:val="single" w:color="auto" w:sz="4" w:space="0"/>
      </w:pBdr>
      <w:shd w:val="clear" w:color="000000" w:fill="1FB714"/>
      <w:spacing w:before="100" w:beforeAutospacing="1" w:after="100" w:afterAutospacing="1"/>
      <w:jc w:val="center"/>
    </w:pPr>
    <w:rPr>
      <w:rFonts w:ascii="宋体" w:hAnsi="宋体" w:cs="宋体"/>
      <w:b/>
      <w:bCs/>
      <w:kern w:val="0"/>
      <w:szCs w:val="21"/>
    </w:rPr>
  </w:style>
  <w:style w:type="paragraph" w:customStyle="1" w:styleId="191">
    <w:name w:val="xl132"/>
    <w:basedOn w:val="1"/>
    <w:uiPriority w:val="99"/>
    <w:pPr>
      <w:widowControl/>
      <w:pBdr>
        <w:top w:val="single" w:color="auto" w:sz="4" w:space="0"/>
        <w:bottom w:val="single" w:color="auto" w:sz="4" w:space="0"/>
      </w:pBdr>
      <w:shd w:val="clear" w:color="000000" w:fill="1FB714"/>
      <w:spacing w:before="100" w:beforeAutospacing="1" w:after="100" w:afterAutospacing="1"/>
      <w:jc w:val="center"/>
    </w:pPr>
    <w:rPr>
      <w:rFonts w:ascii="宋体" w:hAnsi="宋体" w:cs="宋体"/>
      <w:b/>
      <w:bCs/>
      <w:kern w:val="0"/>
      <w:szCs w:val="21"/>
    </w:rPr>
  </w:style>
  <w:style w:type="paragraph" w:customStyle="1" w:styleId="192">
    <w:name w:val="et2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3">
    <w:name w:val="xl117"/>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8"/>
      <w:szCs w:val="18"/>
    </w:rPr>
  </w:style>
  <w:style w:type="paragraph" w:customStyle="1" w:styleId="194">
    <w:name w:val="et3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5">
    <w:name w:val="xl9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96">
    <w:name w:val="xl97"/>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97">
    <w:name w:val="et8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8">
    <w:name w:val="et5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199">
    <w:name w:val="xl146"/>
    <w:basedOn w:val="1"/>
    <w:uiPriority w:val="99"/>
    <w:pPr>
      <w:widowControl/>
      <w:pBdr>
        <w:top w:val="single" w:color="auto" w:sz="4" w:space="0"/>
        <w:left w:val="single" w:color="auto" w:sz="4" w:space="0"/>
      </w:pBdr>
      <w:spacing w:before="100" w:beforeAutospacing="1" w:after="100" w:afterAutospacing="1"/>
      <w:jc w:val="center"/>
    </w:pPr>
    <w:rPr>
      <w:rFonts w:ascii="宋体" w:hAnsi="宋体" w:cs="宋体"/>
      <w:b/>
      <w:bCs/>
      <w:kern w:val="0"/>
      <w:szCs w:val="21"/>
    </w:rPr>
  </w:style>
  <w:style w:type="paragraph" w:customStyle="1" w:styleId="200">
    <w:name w:val="xl10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1">
    <w:name w:val="图文"/>
    <w:basedOn w:val="1"/>
    <w:qFormat/>
    <w:uiPriority w:val="0"/>
    <w:pPr>
      <w:adjustRightInd w:val="0"/>
      <w:snapToGrid w:val="0"/>
      <w:jc w:val="center"/>
    </w:pPr>
    <w:rPr>
      <w:sz w:val="15"/>
      <w:szCs w:val="24"/>
      <w:lang w:val="zh-CN"/>
    </w:rPr>
  </w:style>
  <w:style w:type="paragraph" w:customStyle="1" w:styleId="202">
    <w:name w:val="xl143"/>
    <w:basedOn w:val="1"/>
    <w:uiPriority w:val="99"/>
    <w:pPr>
      <w:widowControl/>
      <w:pBdr>
        <w:top w:val="single" w:color="auto" w:sz="4" w:space="0"/>
        <w:bottom w:val="single" w:color="auto" w:sz="4" w:space="0"/>
      </w:pBdr>
      <w:shd w:val="clear" w:color="000000" w:fill="FF9900"/>
      <w:spacing w:before="100" w:beforeAutospacing="1" w:after="100" w:afterAutospacing="1"/>
      <w:jc w:val="center"/>
    </w:pPr>
    <w:rPr>
      <w:rFonts w:ascii="宋体" w:hAnsi="宋体" w:cs="宋体"/>
      <w:b/>
      <w:bCs/>
      <w:kern w:val="0"/>
      <w:sz w:val="20"/>
      <w:szCs w:val="20"/>
    </w:rPr>
  </w:style>
  <w:style w:type="paragraph" w:customStyle="1" w:styleId="203">
    <w:name w:val="et27"/>
    <w:basedOn w:val="1"/>
    <w:uiPriority w:val="99"/>
    <w:pPr>
      <w:widowControl/>
      <w:spacing w:before="100" w:beforeAutospacing="1" w:after="100" w:afterAutospacing="1"/>
      <w:jc w:val="left"/>
      <w:textAlignment w:val="center"/>
    </w:pPr>
    <w:rPr>
      <w:color w:val="000000"/>
      <w:kern w:val="0"/>
      <w:sz w:val="24"/>
      <w:szCs w:val="24"/>
    </w:rPr>
  </w:style>
  <w:style w:type="paragraph" w:customStyle="1" w:styleId="204">
    <w:name w:val="Char1"/>
    <w:basedOn w:val="1"/>
    <w:uiPriority w:val="0"/>
    <w:rPr>
      <w:rFonts w:ascii="等线" w:hAnsi="等线"/>
      <w:szCs w:val="24"/>
    </w:rPr>
  </w:style>
  <w:style w:type="paragraph" w:customStyle="1" w:styleId="205">
    <w:name w:val="xl150"/>
    <w:basedOn w:val="1"/>
    <w:uiPriority w:val="99"/>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0"/>
      <w:szCs w:val="20"/>
    </w:rPr>
  </w:style>
  <w:style w:type="paragraph" w:customStyle="1" w:styleId="206">
    <w:name w:val="xl101"/>
    <w:basedOn w:val="1"/>
    <w:uiPriority w:val="99"/>
    <w:pPr>
      <w:widowControl/>
      <w:pBdr>
        <w:top w:val="single" w:color="auto" w:sz="4" w:space="0"/>
        <w:left w:val="single" w:color="auto" w:sz="4" w:space="0"/>
        <w:bottom w:val="single" w:color="auto" w:sz="4" w:space="0"/>
        <w:right w:val="single" w:color="auto" w:sz="4" w:space="0"/>
      </w:pBdr>
      <w:shd w:val="clear" w:color="000000" w:fill="99CC00"/>
      <w:spacing w:before="100" w:beforeAutospacing="1" w:after="100" w:afterAutospacing="1"/>
      <w:jc w:val="center"/>
    </w:pPr>
    <w:rPr>
      <w:rFonts w:ascii="宋体" w:hAnsi="宋体" w:cs="宋体"/>
      <w:kern w:val="0"/>
      <w:szCs w:val="21"/>
    </w:rPr>
  </w:style>
  <w:style w:type="paragraph" w:customStyle="1" w:styleId="207">
    <w:name w:val="xl8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208">
    <w:name w:val="et7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09">
    <w:name w:val="xl129"/>
    <w:basedOn w:val="1"/>
    <w:uiPriority w:val="99"/>
    <w:pPr>
      <w:widowControl/>
      <w:pBdr>
        <w:top w:val="single" w:color="auto" w:sz="4" w:space="0"/>
        <w:left w:val="single" w:color="auto" w:sz="4" w:space="0"/>
        <w:bottom w:val="single" w:color="auto" w:sz="4" w:space="0"/>
        <w:right w:val="single" w:color="auto" w:sz="4" w:space="0"/>
      </w:pBdr>
      <w:shd w:val="clear" w:color="000000" w:fill="99CC00"/>
      <w:spacing w:before="100" w:beforeAutospacing="1" w:after="100" w:afterAutospacing="1"/>
      <w:jc w:val="center"/>
    </w:pPr>
    <w:rPr>
      <w:rFonts w:ascii="宋体" w:hAnsi="宋体" w:cs="宋体"/>
      <w:b/>
      <w:bCs/>
      <w:kern w:val="0"/>
      <w:szCs w:val="21"/>
    </w:rPr>
  </w:style>
  <w:style w:type="paragraph" w:styleId="210">
    <w:name w:val="List Paragraph"/>
    <w:basedOn w:val="1"/>
    <w:qFormat/>
    <w:uiPriority w:val="34"/>
    <w:pPr>
      <w:ind w:firstLine="420" w:firstLineChars="200"/>
    </w:pPr>
    <w:rPr>
      <w:szCs w:val="24"/>
    </w:rPr>
  </w:style>
  <w:style w:type="paragraph" w:customStyle="1" w:styleId="211">
    <w:name w:val="et5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12">
    <w:name w:val="et9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13">
    <w:name w:val="xl144"/>
    <w:basedOn w:val="1"/>
    <w:uiPriority w:val="99"/>
    <w:pPr>
      <w:widowControl/>
      <w:pBdr>
        <w:top w:val="single" w:color="auto" w:sz="4" w:space="0"/>
        <w:bottom w:val="single" w:color="auto" w:sz="4" w:space="0"/>
        <w:right w:val="single" w:color="auto" w:sz="4" w:space="0"/>
      </w:pBdr>
      <w:shd w:val="clear" w:color="000000" w:fill="FF9900"/>
      <w:spacing w:before="100" w:beforeAutospacing="1" w:after="100" w:afterAutospacing="1"/>
      <w:jc w:val="center"/>
    </w:pPr>
    <w:rPr>
      <w:rFonts w:ascii="宋体" w:hAnsi="宋体" w:cs="宋体"/>
      <w:b/>
      <w:bCs/>
      <w:kern w:val="0"/>
      <w:sz w:val="20"/>
      <w:szCs w:val="20"/>
    </w:rPr>
  </w:style>
  <w:style w:type="paragraph" w:customStyle="1" w:styleId="214">
    <w:name w:val="et3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15">
    <w:name w:val="et37"/>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16">
    <w:name w:val="p0"/>
    <w:basedOn w:val="1"/>
    <w:uiPriority w:val="99"/>
    <w:pPr>
      <w:widowControl/>
    </w:pPr>
    <w:rPr>
      <w:kern w:val="0"/>
      <w:szCs w:val="21"/>
    </w:rPr>
  </w:style>
  <w:style w:type="paragraph" w:customStyle="1" w:styleId="217">
    <w:name w:val="xl11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18">
    <w:name w:val="et1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19">
    <w:name w:val="xl15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220">
    <w:name w:val="et8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1">
    <w:name w:val="et8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2">
    <w:name w:val="et71"/>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3">
    <w:name w:val="et86"/>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4">
    <w:name w:val="xl111"/>
    <w:basedOn w:val="1"/>
    <w:uiPriority w:val="99"/>
    <w:pPr>
      <w:widowControl/>
      <w:pBdr>
        <w:top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225">
    <w:name w:val="et1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6">
    <w:name w:val="xl120"/>
    <w:basedOn w:val="1"/>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27">
    <w:name w:val="xl135"/>
    <w:basedOn w:val="1"/>
    <w:uiPriority w:val="99"/>
    <w:pPr>
      <w:widowControl/>
      <w:pBdr>
        <w:left w:val="single" w:color="auto" w:sz="4" w:space="0"/>
        <w:right w:val="single" w:color="auto" w:sz="4" w:space="0"/>
      </w:pBdr>
      <w:spacing w:before="100" w:beforeAutospacing="1" w:after="100" w:afterAutospacing="1"/>
      <w:jc w:val="center"/>
    </w:pPr>
    <w:rPr>
      <w:rFonts w:ascii="宋体" w:hAnsi="宋体" w:cs="宋体"/>
      <w:b/>
      <w:bCs/>
      <w:kern w:val="0"/>
      <w:szCs w:val="21"/>
    </w:rPr>
  </w:style>
  <w:style w:type="paragraph" w:customStyle="1" w:styleId="228">
    <w:name w:val="et2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29">
    <w:name w:val="et3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0">
    <w:name w:val="et2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1">
    <w:name w:val="xl148"/>
    <w:basedOn w:val="1"/>
    <w:uiPriority w:val="99"/>
    <w:pPr>
      <w:widowControl/>
      <w:pBdr>
        <w:left w:val="single" w:color="auto" w:sz="4" w:space="0"/>
      </w:pBdr>
      <w:spacing w:before="100" w:beforeAutospacing="1" w:after="100" w:afterAutospacing="1"/>
      <w:jc w:val="center"/>
    </w:pPr>
    <w:rPr>
      <w:rFonts w:ascii="宋体" w:hAnsi="宋体" w:cs="宋体"/>
      <w:b/>
      <w:bCs/>
      <w:kern w:val="0"/>
      <w:szCs w:val="21"/>
    </w:rPr>
  </w:style>
  <w:style w:type="paragraph" w:customStyle="1" w:styleId="232">
    <w:name w:val="Char"/>
    <w:basedOn w:val="1"/>
    <w:uiPriority w:val="0"/>
    <w:rPr>
      <w:rFonts w:ascii="等线" w:hAnsi="等线"/>
      <w:szCs w:val="24"/>
    </w:rPr>
  </w:style>
  <w:style w:type="paragraph" w:customStyle="1" w:styleId="233">
    <w:name w:val="xl122"/>
    <w:basedOn w:val="1"/>
    <w:uiPriority w:val="99"/>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234">
    <w:name w:val="et6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5">
    <w:name w:val="et5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36">
    <w:name w:val="font6"/>
    <w:basedOn w:val="1"/>
    <w:uiPriority w:val="99"/>
    <w:pPr>
      <w:widowControl/>
      <w:spacing w:before="100" w:beforeAutospacing="1" w:after="100" w:afterAutospacing="1"/>
      <w:jc w:val="left"/>
    </w:pPr>
    <w:rPr>
      <w:kern w:val="0"/>
      <w:sz w:val="18"/>
      <w:szCs w:val="18"/>
    </w:rPr>
  </w:style>
  <w:style w:type="paragraph" w:customStyle="1" w:styleId="237">
    <w:name w:val="xl9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38">
    <w:name w:val="font9"/>
    <w:basedOn w:val="1"/>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39">
    <w:name w:val="et60"/>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0">
    <w:name w:val="et78"/>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1">
    <w:name w:val="et29"/>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2">
    <w:name w:val="xl126"/>
    <w:basedOn w:val="1"/>
    <w:uiPriority w:val="99"/>
    <w:pPr>
      <w:widowControl/>
      <w:pBdr>
        <w:top w:val="single" w:color="auto" w:sz="4" w:space="0"/>
        <w:left w:val="single" w:color="auto" w:sz="4" w:space="0"/>
        <w:bottom w:val="single" w:color="auto" w:sz="4" w:space="0"/>
      </w:pBdr>
      <w:shd w:val="clear" w:color="000000" w:fill="1FB714"/>
      <w:spacing w:before="100" w:beforeAutospacing="1" w:after="100" w:afterAutospacing="1"/>
      <w:jc w:val="left"/>
    </w:pPr>
    <w:rPr>
      <w:rFonts w:ascii="宋体" w:hAnsi="宋体" w:cs="宋体"/>
      <w:kern w:val="0"/>
      <w:szCs w:val="21"/>
    </w:rPr>
  </w:style>
  <w:style w:type="paragraph" w:customStyle="1" w:styleId="243">
    <w:name w:val="xl152"/>
    <w:basedOn w:val="1"/>
    <w:uiPriority w:val="99"/>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44">
    <w:name w:val="et5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5">
    <w:name w:val="et3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6">
    <w:name w:val="et12"/>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7">
    <w:name w:val="et2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8">
    <w:name w:val="et1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49">
    <w:name w:val="et1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0">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51">
    <w:name w:val="xl130"/>
    <w:basedOn w:val="1"/>
    <w:uiPriority w:val="99"/>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252">
    <w:name w:val="et75"/>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3">
    <w:name w:val="xl14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254">
    <w:name w:val="xl136"/>
    <w:basedOn w:val="1"/>
    <w:uiPriority w:val="99"/>
    <w:pPr>
      <w:widowControl/>
      <w:pBdr>
        <w:top w:val="single" w:color="auto" w:sz="4" w:space="0"/>
        <w:left w:val="single" w:color="auto" w:sz="4" w:space="0"/>
        <w:bottom w:val="single" w:color="auto" w:sz="4" w:space="0"/>
      </w:pBdr>
      <w:shd w:val="clear" w:color="000000" w:fill="99CC00"/>
      <w:spacing w:before="100" w:beforeAutospacing="1" w:after="100" w:afterAutospacing="1"/>
      <w:jc w:val="center"/>
    </w:pPr>
    <w:rPr>
      <w:rFonts w:ascii="宋体" w:hAnsi="宋体" w:cs="宋体"/>
      <w:b/>
      <w:bCs/>
      <w:kern w:val="0"/>
      <w:szCs w:val="21"/>
    </w:rPr>
  </w:style>
  <w:style w:type="paragraph" w:customStyle="1" w:styleId="255">
    <w:name w:val="et84"/>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6">
    <w:name w:val="et45"/>
    <w:basedOn w:val="1"/>
    <w:qFormat/>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7">
    <w:name w:val="et73"/>
    <w:basedOn w:val="1"/>
    <w:uiPriority w:val="99"/>
    <w:pPr>
      <w:widowControl/>
      <w:spacing w:before="100" w:beforeAutospacing="1" w:after="100" w:afterAutospacing="1"/>
      <w:jc w:val="left"/>
      <w:textAlignment w:val="center"/>
    </w:pPr>
    <w:rPr>
      <w:rFonts w:ascii="宋体" w:hAnsi="宋体" w:cs="宋体"/>
      <w:color w:val="000000"/>
      <w:kern w:val="0"/>
      <w:sz w:val="24"/>
      <w:szCs w:val="24"/>
    </w:rPr>
  </w:style>
  <w:style w:type="paragraph" w:customStyle="1" w:styleId="258">
    <w:name w:val="xl9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table" w:customStyle="1" w:styleId="259">
    <w:name w:val="网格型1"/>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1736</Words>
  <Characters>9896</Characters>
  <Lines>82</Lines>
  <Paragraphs>23</Paragraphs>
  <TotalTime>0</TotalTime>
  <ScaleCrop>false</ScaleCrop>
  <LinksUpToDate>false</LinksUpToDate>
  <CharactersWithSpaces>11609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2020-05-08T08:46:00Z</dcterms:created>
  <dc:creator>邸杰</dc:creator>
  <cp:lastModifiedBy>风玲</cp:lastModifiedBy>
  <dcterms:modified xsi:type="dcterms:W3CDTF">2020-06-08T09:27:11Z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