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6" w:after="156"/>
        <w:rPr>
          <w:rFonts w:asciiTheme="majorEastAsia" w:hAnsiTheme="majorEastAsia" w:eastAsiaTheme="majorEastAsia" w:cstheme="majorEastAsia"/>
          <w:color w:val="000000"/>
          <w:sz w:val="18"/>
          <w:szCs w:val="18"/>
        </w:rPr>
      </w:pPr>
      <w:bookmarkStart w:id="0" w:name="_Toc36027715"/>
      <w:r>
        <w:rPr>
          <w:rFonts w:hint="eastAsia" w:asciiTheme="majorEastAsia" w:hAnsiTheme="majorEastAsia" w:eastAsiaTheme="majorEastAsia" w:cstheme="majorEastAsia"/>
          <w:color w:val="000000"/>
          <w:szCs w:val="32"/>
        </w:rPr>
        <w:t>材料科学与工程专业本科人才培养方案</w:t>
      </w:r>
      <w:bookmarkEnd w:id="0"/>
    </w:p>
    <w:p>
      <w:pPr>
        <w:widowControl/>
        <w:adjustRightInd w:val="0"/>
        <w:snapToGrid w:val="0"/>
        <w:spacing w:line="360" w:lineRule="auto"/>
        <w:jc w:val="center"/>
        <w:rPr>
          <w:rFonts w:ascii="Times New Roman" w:hAnsi="Times New Roman"/>
          <w:color w:val="000000"/>
          <w:sz w:val="24"/>
          <w:u w:val="single"/>
        </w:rPr>
      </w:pPr>
      <w:r>
        <w:rPr>
          <w:color w:val="000000"/>
          <w:sz w:val="24"/>
        </w:rPr>
        <w:t>学科门类：</w:t>
      </w:r>
      <w:r>
        <w:rPr>
          <w:rFonts w:hint="eastAsia"/>
          <w:color w:val="000000"/>
          <w:sz w:val="24"/>
        </w:rPr>
        <w:t>工学</w:t>
      </w:r>
      <w:r>
        <w:rPr>
          <w:color w:val="000000"/>
          <w:sz w:val="24"/>
        </w:rPr>
        <w:t xml:space="preserve">     专业代码：</w:t>
      </w:r>
      <w:r>
        <w:rPr>
          <w:rFonts w:ascii="Times New Roman" w:hAnsi="Times New Roman"/>
          <w:color w:val="000000"/>
          <w:sz w:val="24"/>
        </w:rPr>
        <w:t>080401</w:t>
      </w:r>
    </w:p>
    <w:p>
      <w:pPr>
        <w:adjustRightInd w:val="0"/>
        <w:snapToGrid w:val="0"/>
        <w:spacing w:before="156" w:beforeLines="50" w:line="324" w:lineRule="auto"/>
        <w:ind w:firstLine="482" w:firstLineChars="200"/>
        <w:rPr>
          <w:b/>
          <w:bCs/>
          <w:color w:val="000000"/>
          <w:sz w:val="24"/>
        </w:rPr>
      </w:pPr>
      <w:r>
        <w:rPr>
          <w:b/>
          <w:bCs/>
          <w:color w:val="000000"/>
          <w:sz w:val="24"/>
        </w:rPr>
        <w:t xml:space="preserve">一、专业介绍 </w:t>
      </w:r>
    </w:p>
    <w:p>
      <w:pPr>
        <w:widowControl/>
        <w:adjustRightInd w:val="0"/>
        <w:snapToGrid w:val="0"/>
        <w:spacing w:line="400" w:lineRule="exact"/>
        <w:ind w:firstLine="420" w:firstLineChars="200"/>
        <w:rPr>
          <w:color w:val="000000"/>
        </w:rPr>
      </w:pPr>
      <w:r>
        <w:rPr>
          <w:rFonts w:hint="eastAsia"/>
          <w:color w:val="000000"/>
        </w:rPr>
        <w:t>材料科学与工程专业于2018年批准招生，</w:t>
      </w:r>
      <w:r>
        <w:rPr>
          <w:color w:val="000000"/>
        </w:rPr>
        <w:t>是基于区域经济特点和相关产业发展需求而设立的本科专业，立足苏北、面向淮海经济区，紧密围绕地方环保和新能源产业对高素质应用型人才的需求</w:t>
      </w:r>
      <w:r>
        <w:rPr>
          <w:rFonts w:hint="eastAsia"/>
          <w:color w:val="000000"/>
        </w:rPr>
        <w:t>，</w:t>
      </w:r>
      <w:r>
        <w:rPr>
          <w:color w:val="000000"/>
        </w:rPr>
        <w:t>培养具有工程实践能力、创新创业意识和国际化视野的材料科学与工程领域的高级应用型技术人才</w:t>
      </w:r>
      <w:r>
        <w:rPr>
          <w:rFonts w:hint="eastAsia"/>
          <w:color w:val="000000"/>
        </w:rPr>
        <w:t>。</w:t>
      </w:r>
    </w:p>
    <w:p>
      <w:pPr>
        <w:widowControl/>
        <w:adjustRightInd w:val="0"/>
        <w:snapToGrid w:val="0"/>
        <w:spacing w:line="400" w:lineRule="exact"/>
        <w:ind w:firstLine="420" w:firstLineChars="200"/>
        <w:rPr>
          <w:color w:val="000000"/>
          <w:highlight w:val="yellow"/>
        </w:rPr>
      </w:pPr>
      <w:r>
        <w:rPr>
          <w:rFonts w:hint="eastAsia"/>
          <w:color w:val="000000"/>
        </w:rPr>
        <w:t>本专业</w:t>
      </w:r>
      <w:r>
        <w:rPr>
          <w:color w:val="000000"/>
        </w:rPr>
        <w:t>全面贯彻我校</w:t>
      </w:r>
      <w:r>
        <w:rPr>
          <w:rFonts w:hint="eastAsia"/>
          <w:color w:val="000000"/>
        </w:rPr>
        <w:t>“</w:t>
      </w:r>
      <w:r>
        <w:rPr>
          <w:color w:val="000000"/>
        </w:rPr>
        <w:t>四大观</w:t>
      </w:r>
      <w:r>
        <w:rPr>
          <w:rFonts w:hint="eastAsia"/>
          <w:color w:val="000000"/>
        </w:rPr>
        <w:t>”</w:t>
      </w:r>
      <w:r>
        <w:rPr>
          <w:color w:val="000000"/>
        </w:rPr>
        <w:t>——大工程观、大应用观、大生活观、大文化观的办学理念，以新能源材料方向为本专业的特色方向，强调</w:t>
      </w:r>
      <w:r>
        <w:rPr>
          <w:rFonts w:hint="eastAsia"/>
          <w:color w:val="000000"/>
        </w:rPr>
        <w:t>“</w:t>
      </w:r>
      <w:r>
        <w:rPr>
          <w:color w:val="000000"/>
        </w:rPr>
        <w:t>工程应用</w:t>
      </w:r>
      <w:r>
        <w:rPr>
          <w:rFonts w:hint="eastAsia"/>
          <w:color w:val="000000"/>
        </w:rPr>
        <w:t>”</w:t>
      </w:r>
      <w:r>
        <w:rPr>
          <w:color w:val="000000"/>
        </w:rPr>
        <w:t>的特点，旨在向材料工程领域输送具有扎实的材料</w:t>
      </w:r>
      <w:r>
        <w:rPr>
          <w:rFonts w:hint="eastAsia"/>
          <w:color w:val="000000"/>
        </w:rPr>
        <w:t>科学</w:t>
      </w:r>
      <w:r>
        <w:rPr>
          <w:color w:val="000000"/>
        </w:rPr>
        <w:t>基础知识和技能</w:t>
      </w:r>
      <w:r>
        <w:rPr>
          <w:rFonts w:hint="eastAsia"/>
          <w:color w:val="000000"/>
        </w:rPr>
        <w:t>，全面</w:t>
      </w:r>
      <w:r>
        <w:rPr>
          <w:color w:val="000000"/>
        </w:rPr>
        <w:t>的材料结构与性能、材料加工成型与制备等专业知识</w:t>
      </w:r>
      <w:r>
        <w:rPr>
          <w:rFonts w:hint="eastAsia"/>
          <w:color w:val="000000"/>
        </w:rPr>
        <w:t>，</w:t>
      </w:r>
      <w:r>
        <w:rPr>
          <w:color w:val="000000"/>
        </w:rPr>
        <w:t>以及较强的工程实践能力和创新意识的工程应用型人才</w:t>
      </w:r>
      <w:r>
        <w:rPr>
          <w:rFonts w:hint="eastAsia"/>
          <w:color w:val="000000"/>
        </w:rPr>
        <w:t>，</w:t>
      </w:r>
      <w:r>
        <w:rPr>
          <w:color w:val="000000"/>
        </w:rPr>
        <w:t>学生毕业后授予工学学士学位，可在材料科学与工程领域从事新材料、新技术、新设备的设计开发、生产、质量检测及经营管理等方面的工作。</w:t>
      </w:r>
    </w:p>
    <w:p>
      <w:pPr>
        <w:adjustRightInd w:val="0"/>
        <w:snapToGrid w:val="0"/>
        <w:spacing w:before="156" w:beforeLines="50" w:line="324" w:lineRule="auto"/>
        <w:ind w:firstLine="482" w:firstLineChars="200"/>
        <w:rPr>
          <w:b/>
          <w:bCs/>
          <w:color w:val="000000"/>
          <w:sz w:val="24"/>
        </w:rPr>
      </w:pPr>
      <w:r>
        <w:rPr>
          <w:b/>
          <w:bCs/>
          <w:color w:val="000000"/>
          <w:sz w:val="24"/>
        </w:rPr>
        <w:t xml:space="preserve">二、培养目标 </w:t>
      </w:r>
    </w:p>
    <w:p>
      <w:pPr>
        <w:widowControl/>
        <w:adjustRightInd w:val="0"/>
        <w:snapToGrid w:val="0"/>
        <w:spacing w:line="400" w:lineRule="exact"/>
        <w:ind w:firstLine="420" w:firstLineChars="200"/>
        <w:rPr>
          <w:color w:val="000000"/>
        </w:rPr>
      </w:pPr>
      <w:r>
        <w:rPr>
          <w:color w:val="000000"/>
        </w:rPr>
        <w:t>本专业</w:t>
      </w:r>
      <w:r>
        <w:rPr>
          <w:rFonts w:hint="eastAsia"/>
          <w:color w:val="000000"/>
        </w:rPr>
        <w:t>适应社会发展需求，</w:t>
      </w:r>
      <w:r>
        <w:rPr>
          <w:color w:val="000000"/>
        </w:rPr>
        <w:t>培养</w:t>
      </w:r>
      <w:r>
        <w:rPr>
          <w:rFonts w:hint="eastAsia"/>
          <w:color w:val="000000"/>
        </w:rPr>
        <w:t>德智体美劳全面发展，</w:t>
      </w:r>
      <w:r>
        <w:rPr>
          <w:color w:val="000000"/>
        </w:rPr>
        <w:t>具有良好职业道德和社会责任感，具备坚实的自然科学基础，具备一定的计算机基础和外语能力，</w:t>
      </w:r>
      <w:r>
        <w:rPr>
          <w:rFonts w:hint="eastAsia"/>
          <w:color w:val="000000"/>
        </w:rPr>
        <w:t>具备系统的</w:t>
      </w:r>
      <w:r>
        <w:rPr>
          <w:color w:val="000000"/>
        </w:rPr>
        <w:t>新材料制备、加工成形、材料结构与性能等专业知识，具备较强的工程实践能力</w:t>
      </w:r>
      <w:r>
        <w:rPr>
          <w:rFonts w:hint="eastAsia"/>
          <w:color w:val="000000"/>
        </w:rPr>
        <w:t>的应用型人才</w:t>
      </w:r>
      <w:r>
        <w:rPr>
          <w:color w:val="000000"/>
        </w:rPr>
        <w:t>，能够在新能源电池材料、纳米催化材料等方面从事</w:t>
      </w:r>
      <w:r>
        <w:rPr>
          <w:rFonts w:hint="eastAsia"/>
          <w:color w:val="000000"/>
        </w:rPr>
        <w:t>新材料设计</w:t>
      </w:r>
      <w:r>
        <w:rPr>
          <w:color w:val="000000"/>
        </w:rPr>
        <w:t>研发、工程应用、技术改造、分析检测、经营管理等方面的工作。</w:t>
      </w:r>
    </w:p>
    <w:p>
      <w:pPr>
        <w:widowControl/>
        <w:adjustRightInd w:val="0"/>
        <w:snapToGrid w:val="0"/>
        <w:spacing w:line="400" w:lineRule="exact"/>
        <w:ind w:firstLine="420" w:firstLineChars="200"/>
        <w:rPr>
          <w:color w:val="000000"/>
        </w:rPr>
      </w:pPr>
      <w:r>
        <w:rPr>
          <w:rFonts w:hint="eastAsia"/>
          <w:color w:val="000000"/>
        </w:rPr>
        <w:t>1</w:t>
      </w:r>
      <w:r>
        <w:rPr>
          <w:color w:val="000000"/>
        </w:rPr>
        <w:t>. 具有从事材料科学与工程领域科学研究、工程设计和技术服务等工作所需的相关数学、自然科学（物理、化学）、工程基础（机械、电工电子、计算机、工程制图）以及经济与管理等领域的基础知识和基本技能。</w:t>
      </w:r>
    </w:p>
    <w:p>
      <w:pPr>
        <w:widowControl/>
        <w:adjustRightInd w:val="0"/>
        <w:snapToGrid w:val="0"/>
        <w:spacing w:line="400" w:lineRule="exact"/>
        <w:ind w:firstLine="420"/>
        <w:rPr>
          <w:color w:val="000000"/>
        </w:rPr>
      </w:pPr>
      <w:r>
        <w:rPr>
          <w:rFonts w:hint="eastAsia"/>
          <w:color w:val="000000"/>
        </w:rPr>
        <w:t>2</w:t>
      </w:r>
      <w:r>
        <w:rPr>
          <w:color w:val="000000"/>
        </w:rPr>
        <w:t>. 利用恰当的技术、方法、资源、现代工程工具和信息技术工具，识别、剖析和表达材料应用中的问题，具有较强的环保和安全意识</w:t>
      </w:r>
      <w:r>
        <w:rPr>
          <w:rFonts w:hint="eastAsia"/>
          <w:color w:val="000000"/>
        </w:rPr>
        <w:t>，</w:t>
      </w:r>
      <w:r>
        <w:rPr>
          <w:color w:val="000000"/>
        </w:rPr>
        <w:t>并能够运用所学知识解决工程实际问题。</w:t>
      </w:r>
    </w:p>
    <w:p>
      <w:pPr>
        <w:widowControl/>
        <w:adjustRightInd w:val="0"/>
        <w:snapToGrid w:val="0"/>
        <w:spacing w:line="400" w:lineRule="exact"/>
        <w:ind w:firstLine="420"/>
        <w:rPr>
          <w:color w:val="000000"/>
        </w:rPr>
      </w:pPr>
      <w:r>
        <w:rPr>
          <w:color w:val="000000"/>
        </w:rPr>
        <w:t>3. 了解本专业方向的前沿发展现状和趋势，</w:t>
      </w:r>
      <w:r>
        <w:rPr>
          <w:rFonts w:hint="eastAsia"/>
          <w:color w:val="000000"/>
        </w:rPr>
        <w:t>具有国际视野，</w:t>
      </w:r>
      <w:r>
        <w:rPr>
          <w:color w:val="000000"/>
        </w:rPr>
        <w:t>具有一定的产品或器件的研发、设计、测试、分析、评价和应用能力。</w:t>
      </w:r>
    </w:p>
    <w:p>
      <w:pPr>
        <w:widowControl/>
        <w:adjustRightInd w:val="0"/>
        <w:snapToGrid w:val="0"/>
        <w:spacing w:line="400" w:lineRule="exact"/>
        <w:ind w:firstLine="420"/>
        <w:rPr>
          <w:bCs/>
          <w:color w:val="000000"/>
        </w:rPr>
      </w:pPr>
      <w:r>
        <w:rPr>
          <w:rFonts w:hint="eastAsia"/>
          <w:color w:val="000000"/>
        </w:rPr>
        <w:t>4</w:t>
      </w:r>
      <w:r>
        <w:rPr>
          <w:color w:val="000000"/>
        </w:rPr>
        <w:t>.</w:t>
      </w:r>
      <w:r>
        <w:rPr>
          <w:rFonts w:hint="eastAsia"/>
          <w:color w:val="000000"/>
        </w:rPr>
        <w:t xml:space="preserve"> </w:t>
      </w:r>
      <w:r>
        <w:rPr>
          <w:color w:val="000000"/>
        </w:rPr>
        <w:t>具有较强的社会责任感和职业道德，关注当前社会发展问题，具备较好文稿写作、沟通表达、团队合作、跨文化学术交流能力，并具有终生学习的能力。</w:t>
      </w:r>
    </w:p>
    <w:p>
      <w:pPr>
        <w:adjustRightInd w:val="0"/>
        <w:snapToGrid w:val="0"/>
        <w:spacing w:before="156" w:beforeLines="50" w:line="324" w:lineRule="auto"/>
        <w:ind w:firstLine="482" w:firstLineChars="200"/>
        <w:rPr>
          <w:b/>
          <w:bCs/>
          <w:color w:val="000000"/>
          <w:sz w:val="24"/>
        </w:rPr>
      </w:pPr>
      <w:r>
        <w:rPr>
          <w:b/>
          <w:bCs/>
          <w:color w:val="000000"/>
          <w:sz w:val="24"/>
        </w:rPr>
        <w:t>三、毕业要求</w:t>
      </w:r>
    </w:p>
    <w:p>
      <w:pPr>
        <w:widowControl/>
        <w:adjustRightInd w:val="0"/>
        <w:snapToGrid w:val="0"/>
        <w:spacing w:line="400" w:lineRule="exact"/>
        <w:ind w:firstLine="420" w:firstLineChars="200"/>
        <w:jc w:val="left"/>
        <w:rPr>
          <w:color w:val="000000"/>
        </w:rPr>
      </w:pPr>
      <w:r>
        <w:rPr>
          <w:rFonts w:hint="eastAsia"/>
          <w:color w:val="000000"/>
        </w:rPr>
        <w:t>本专业培养的学生在毕业时，通过本科阶段的培养和训练，能够获得下列知识、能力和素养：</w:t>
      </w:r>
    </w:p>
    <w:p>
      <w:pPr>
        <w:widowControl/>
        <w:adjustRightInd w:val="0"/>
        <w:snapToGrid w:val="0"/>
        <w:spacing w:line="400" w:lineRule="exact"/>
        <w:ind w:firstLine="422" w:firstLineChars="200"/>
        <w:jc w:val="left"/>
        <w:rPr>
          <w:b/>
          <w:color w:val="000000"/>
        </w:rPr>
      </w:pPr>
      <w:r>
        <w:rPr>
          <w:rFonts w:hint="eastAsia"/>
          <w:b/>
          <w:color w:val="000000"/>
        </w:rPr>
        <w:t>1．工程知识：能够将数学、自然科学、工程基础和专业知识用于解决复杂工程问题。</w:t>
      </w:r>
    </w:p>
    <w:p>
      <w:pPr>
        <w:widowControl/>
        <w:adjustRightInd w:val="0"/>
        <w:snapToGrid w:val="0"/>
        <w:spacing w:line="400" w:lineRule="exact"/>
        <w:ind w:firstLine="420" w:firstLineChars="200"/>
        <w:jc w:val="left"/>
        <w:rPr>
          <w:color w:val="000000"/>
        </w:rPr>
      </w:pPr>
      <w:r>
        <w:rPr>
          <w:color w:val="000000"/>
        </w:rPr>
        <w:t xml:space="preserve">1.1 </w:t>
      </w:r>
      <w:r>
        <w:rPr>
          <w:rFonts w:hint="eastAsia"/>
          <w:color w:val="000000"/>
        </w:rPr>
        <w:t>能将数学、自然科学、工程科学的语言工具用于工程问题的表述。</w:t>
      </w:r>
    </w:p>
    <w:p>
      <w:pPr>
        <w:widowControl/>
        <w:adjustRightInd w:val="0"/>
        <w:snapToGrid w:val="0"/>
        <w:spacing w:line="400" w:lineRule="exact"/>
        <w:ind w:firstLine="420" w:firstLineChars="200"/>
        <w:jc w:val="left"/>
        <w:rPr>
          <w:color w:val="000000"/>
        </w:rPr>
      </w:pPr>
      <w:r>
        <w:rPr>
          <w:color w:val="000000"/>
        </w:rPr>
        <w:t xml:space="preserve">1.2 </w:t>
      </w:r>
      <w:r>
        <w:rPr>
          <w:rFonts w:hint="eastAsia"/>
          <w:color w:val="000000"/>
          <w:szCs w:val="21"/>
        </w:rPr>
        <w:t>具备物理、化学等自然科学基本原理和知识，能针对具体的对象建立数学模型并求解。</w:t>
      </w:r>
    </w:p>
    <w:p>
      <w:pPr>
        <w:widowControl/>
        <w:adjustRightInd w:val="0"/>
        <w:snapToGrid w:val="0"/>
        <w:spacing w:line="400" w:lineRule="exact"/>
        <w:ind w:firstLine="420" w:firstLineChars="200"/>
        <w:jc w:val="left"/>
        <w:rPr>
          <w:color w:val="000000"/>
        </w:rPr>
      </w:pPr>
      <w:r>
        <w:rPr>
          <w:color w:val="000000"/>
        </w:rPr>
        <w:t xml:space="preserve">1.3 </w:t>
      </w:r>
      <w:r>
        <w:rPr>
          <w:rFonts w:hint="eastAsia"/>
          <w:color w:val="000000"/>
        </w:rPr>
        <w:t>能将计算机、工程制图、电子电工等工程基础知识和数学模型用于推演、分析复杂工程问题。</w:t>
      </w:r>
    </w:p>
    <w:p>
      <w:pPr>
        <w:widowControl/>
        <w:adjustRightInd w:val="0"/>
        <w:snapToGrid w:val="0"/>
        <w:spacing w:line="400" w:lineRule="exact"/>
        <w:ind w:firstLine="420" w:firstLineChars="200"/>
        <w:jc w:val="left"/>
        <w:rPr>
          <w:color w:val="000000"/>
        </w:rPr>
      </w:pPr>
      <w:r>
        <w:rPr>
          <w:color w:val="000000"/>
        </w:rPr>
        <w:t xml:space="preserve">1.4 </w:t>
      </w:r>
      <w:r>
        <w:rPr>
          <w:rFonts w:hint="eastAsia"/>
          <w:color w:val="000000"/>
        </w:rPr>
        <w:t>能将材料科学与工程专业知识和数学模型方法用于专业工程问题解决方案的比较与综合。。</w:t>
      </w:r>
    </w:p>
    <w:p>
      <w:pPr>
        <w:widowControl/>
        <w:adjustRightInd w:val="0"/>
        <w:snapToGrid w:val="0"/>
        <w:spacing w:line="400" w:lineRule="exact"/>
        <w:ind w:firstLine="422" w:firstLineChars="200"/>
        <w:jc w:val="left"/>
        <w:rPr>
          <w:b/>
          <w:color w:val="000000"/>
        </w:rPr>
      </w:pPr>
      <w:r>
        <w:rPr>
          <w:rFonts w:hint="eastAsia"/>
          <w:b/>
          <w:color w:val="000000"/>
        </w:rPr>
        <w:t>2．问题分析：能够应用数学、自然科学和工程科学的基本原理，识别、表达并通过文献研究分析复杂工程问题，以获得有效结论。</w:t>
      </w:r>
    </w:p>
    <w:p>
      <w:pPr>
        <w:widowControl/>
        <w:adjustRightInd w:val="0"/>
        <w:snapToGrid w:val="0"/>
        <w:spacing w:line="400" w:lineRule="exact"/>
        <w:ind w:firstLine="420" w:firstLineChars="200"/>
        <w:jc w:val="left"/>
        <w:rPr>
          <w:color w:val="000000"/>
        </w:rPr>
      </w:pPr>
      <w:r>
        <w:rPr>
          <w:color w:val="000000"/>
        </w:rPr>
        <w:t xml:space="preserve">2.1 </w:t>
      </w:r>
      <w:r>
        <w:rPr>
          <w:color w:val="000000"/>
          <w:szCs w:val="21"/>
        </w:rPr>
        <w:t>能够</w:t>
      </w:r>
      <w:r>
        <w:rPr>
          <w:rFonts w:hint="eastAsia"/>
          <w:color w:val="000000"/>
          <w:szCs w:val="21"/>
        </w:rPr>
        <w:t>综合运用数学、物理、化学及材料科学的基本原理对复杂工程问题的关键环节进行识别和判断。</w:t>
      </w:r>
    </w:p>
    <w:p>
      <w:pPr>
        <w:widowControl/>
        <w:adjustRightInd w:val="0"/>
        <w:snapToGrid w:val="0"/>
        <w:spacing w:line="400" w:lineRule="exact"/>
        <w:ind w:firstLine="420" w:firstLineChars="200"/>
        <w:jc w:val="left"/>
        <w:rPr>
          <w:color w:val="000000"/>
          <w:szCs w:val="21"/>
        </w:rPr>
      </w:pPr>
      <w:r>
        <w:rPr>
          <w:color w:val="000000"/>
        </w:rPr>
        <w:t>2.</w:t>
      </w:r>
      <w:r>
        <w:rPr>
          <w:rFonts w:hint="eastAsia"/>
          <w:color w:val="000000"/>
        </w:rPr>
        <w:t>2</w:t>
      </w:r>
      <w:r>
        <w:rPr>
          <w:color w:val="000000"/>
        </w:rPr>
        <w:t xml:space="preserve"> </w:t>
      </w:r>
      <w:r>
        <w:rPr>
          <w:color w:val="000000"/>
          <w:szCs w:val="21"/>
        </w:rPr>
        <w:t>能够</w:t>
      </w:r>
      <w:r>
        <w:rPr>
          <w:rFonts w:hint="eastAsia"/>
          <w:color w:val="000000"/>
          <w:szCs w:val="21"/>
        </w:rPr>
        <w:t>基于相关科学原理和数学模型方法对复杂材料工程领域的问题进行分析、条件假设、方案表达。</w:t>
      </w:r>
    </w:p>
    <w:p>
      <w:pPr>
        <w:widowControl/>
        <w:adjustRightInd w:val="0"/>
        <w:snapToGrid w:val="0"/>
        <w:spacing w:line="400" w:lineRule="exact"/>
        <w:ind w:firstLine="420" w:firstLineChars="200"/>
        <w:jc w:val="left"/>
        <w:rPr>
          <w:color w:val="000000"/>
          <w:szCs w:val="21"/>
        </w:rPr>
      </w:pPr>
      <w:r>
        <w:rPr>
          <w:rFonts w:hint="eastAsia"/>
          <w:color w:val="000000"/>
          <w:szCs w:val="21"/>
        </w:rPr>
        <w:t>2.3 能认识到解决问题有多种方案可选择，并能够通过文献研究寻求可替代的解决方案。</w:t>
      </w:r>
    </w:p>
    <w:p>
      <w:pPr>
        <w:widowControl/>
        <w:adjustRightInd w:val="0"/>
        <w:snapToGrid w:val="0"/>
        <w:spacing w:line="400" w:lineRule="exact"/>
        <w:ind w:firstLine="420" w:firstLineChars="200"/>
        <w:jc w:val="left"/>
        <w:rPr>
          <w:color w:val="000000"/>
        </w:rPr>
      </w:pPr>
      <w:r>
        <w:rPr>
          <w:color w:val="000000"/>
          <w:szCs w:val="21"/>
        </w:rPr>
        <w:t>2.</w:t>
      </w:r>
      <w:r>
        <w:rPr>
          <w:rFonts w:hint="eastAsia"/>
          <w:color w:val="000000"/>
          <w:szCs w:val="21"/>
        </w:rPr>
        <w:t>4</w:t>
      </w:r>
      <w:r>
        <w:rPr>
          <w:color w:val="000000"/>
          <w:szCs w:val="21"/>
        </w:rPr>
        <w:t xml:space="preserve"> 能够</w:t>
      </w:r>
      <w:r>
        <w:rPr>
          <w:rFonts w:hint="eastAsia"/>
          <w:color w:val="000000"/>
          <w:szCs w:val="21"/>
        </w:rPr>
        <w:t>运用材料工程基本原理和方法，借助文献研究，分析过程的影响因素，获得有效结论</w:t>
      </w:r>
      <w:r>
        <w:rPr>
          <w:color w:val="000000"/>
          <w:szCs w:val="21"/>
        </w:rPr>
        <w:t>。</w:t>
      </w:r>
    </w:p>
    <w:p>
      <w:pPr>
        <w:widowControl/>
        <w:adjustRightInd w:val="0"/>
        <w:snapToGrid w:val="0"/>
        <w:spacing w:line="400" w:lineRule="exact"/>
        <w:ind w:firstLine="422" w:firstLineChars="200"/>
        <w:jc w:val="left"/>
        <w:rPr>
          <w:b/>
          <w:color w:val="000000"/>
        </w:rPr>
      </w:pPr>
      <w:r>
        <w:rPr>
          <w:rFonts w:hint="eastAsia"/>
          <w:b/>
          <w:color w:val="000000"/>
        </w:rPr>
        <w:t>3．设计/开发解决方案：能够设计针对复杂工程问题的解决方案，设计满足特定需求的系统、单元（部件）或工艺流程，并能够在设计环节中体现创新意识，考虑社会、健康、安全、法律、文化以及环境等因素。</w:t>
      </w:r>
    </w:p>
    <w:p>
      <w:pPr>
        <w:widowControl/>
        <w:adjustRightInd w:val="0"/>
        <w:snapToGrid w:val="0"/>
        <w:spacing w:line="400" w:lineRule="exact"/>
        <w:ind w:firstLine="420" w:firstLineChars="200"/>
        <w:jc w:val="left"/>
        <w:rPr>
          <w:color w:val="000000"/>
        </w:rPr>
      </w:pPr>
      <w:r>
        <w:rPr>
          <w:color w:val="000000"/>
        </w:rPr>
        <w:t xml:space="preserve">3.1 </w:t>
      </w:r>
      <w:r>
        <w:rPr>
          <w:rFonts w:hint="eastAsia"/>
          <w:color w:val="000000"/>
        </w:rPr>
        <w:t>掌握工程设计和产品开发全周期、全流程的基本设计/开发方法和技术，了解影响设计目标和技术方案的各种因素。</w:t>
      </w:r>
    </w:p>
    <w:p>
      <w:pPr>
        <w:widowControl/>
        <w:adjustRightInd w:val="0"/>
        <w:snapToGrid w:val="0"/>
        <w:spacing w:line="400" w:lineRule="exact"/>
        <w:ind w:firstLine="420" w:firstLineChars="200"/>
        <w:jc w:val="left"/>
        <w:rPr>
          <w:color w:val="000000"/>
        </w:rPr>
      </w:pPr>
      <w:r>
        <w:rPr>
          <w:rFonts w:hint="eastAsia"/>
          <w:color w:val="000000"/>
        </w:rPr>
        <w:t xml:space="preserve">3.2 </w:t>
      </w:r>
      <w:r>
        <w:rPr>
          <w:rFonts w:hint="eastAsia"/>
          <w:color w:val="000000"/>
          <w:szCs w:val="18"/>
        </w:rPr>
        <w:t>能够针对特定需求，完成单元（部件）的设计。</w:t>
      </w:r>
    </w:p>
    <w:p>
      <w:pPr>
        <w:widowControl/>
        <w:adjustRightInd w:val="0"/>
        <w:snapToGrid w:val="0"/>
        <w:spacing w:line="400" w:lineRule="exact"/>
        <w:ind w:firstLine="420" w:firstLineChars="200"/>
        <w:jc w:val="left"/>
        <w:rPr>
          <w:color w:val="000000"/>
        </w:rPr>
      </w:pPr>
      <w:r>
        <w:rPr>
          <w:color w:val="000000"/>
        </w:rPr>
        <w:t>3.</w:t>
      </w:r>
      <w:r>
        <w:rPr>
          <w:rFonts w:hint="eastAsia"/>
          <w:color w:val="000000"/>
        </w:rPr>
        <w:t>3</w:t>
      </w:r>
      <w:r>
        <w:rPr>
          <w:color w:val="000000"/>
        </w:rPr>
        <w:t xml:space="preserve"> </w:t>
      </w:r>
      <w:r>
        <w:rPr>
          <w:rFonts w:hint="eastAsia"/>
          <w:color w:val="000000"/>
          <w:szCs w:val="18"/>
        </w:rPr>
        <w:t>能够对材料的制备或生产进行系统或工艺设计，在设计中体现创新意识。</w:t>
      </w:r>
    </w:p>
    <w:p>
      <w:pPr>
        <w:widowControl/>
        <w:adjustRightInd w:val="0"/>
        <w:snapToGrid w:val="0"/>
        <w:spacing w:line="400" w:lineRule="exact"/>
        <w:ind w:firstLine="420" w:firstLineChars="200"/>
        <w:jc w:val="left"/>
        <w:rPr>
          <w:color w:val="000000"/>
        </w:rPr>
      </w:pPr>
      <w:r>
        <w:rPr>
          <w:color w:val="000000"/>
        </w:rPr>
        <w:t>3.</w:t>
      </w:r>
      <w:r>
        <w:rPr>
          <w:rFonts w:hint="eastAsia"/>
          <w:color w:val="000000"/>
        </w:rPr>
        <w:t>4</w:t>
      </w:r>
      <w:r>
        <w:rPr>
          <w:color w:val="000000"/>
        </w:rPr>
        <w:t xml:space="preserve"> </w:t>
      </w:r>
      <w:r>
        <w:rPr>
          <w:color w:val="000000"/>
          <w:szCs w:val="18"/>
        </w:rPr>
        <w:t>能够在</w:t>
      </w:r>
      <w:r>
        <w:rPr>
          <w:rFonts w:hint="eastAsia"/>
          <w:color w:val="000000"/>
          <w:szCs w:val="18"/>
        </w:rPr>
        <w:t>设计中正确考虑社会、健康、安全、法律、文化以及环境等因素，降低环境危害，保护劳动者身心健康。</w:t>
      </w:r>
    </w:p>
    <w:p>
      <w:pPr>
        <w:widowControl/>
        <w:adjustRightInd w:val="0"/>
        <w:snapToGrid w:val="0"/>
        <w:spacing w:line="400" w:lineRule="exact"/>
        <w:ind w:firstLine="422" w:firstLineChars="200"/>
        <w:jc w:val="left"/>
        <w:rPr>
          <w:b/>
          <w:color w:val="000000"/>
        </w:rPr>
      </w:pPr>
      <w:r>
        <w:rPr>
          <w:rFonts w:hint="eastAsia"/>
          <w:b/>
          <w:color w:val="000000"/>
        </w:rPr>
        <w:t>4．研究：能够基于科学原理并采用科学方法对复杂问题进行研究，包括设计实验、分析与解释数据，并通过信息综合得到合理有效的结论。</w:t>
      </w:r>
    </w:p>
    <w:p>
      <w:pPr>
        <w:widowControl/>
        <w:adjustRightInd w:val="0"/>
        <w:snapToGrid w:val="0"/>
        <w:spacing w:line="400" w:lineRule="exact"/>
        <w:ind w:firstLine="420" w:firstLineChars="200"/>
        <w:jc w:val="left"/>
        <w:rPr>
          <w:color w:val="000000"/>
        </w:rPr>
      </w:pPr>
      <w:r>
        <w:rPr>
          <w:color w:val="000000"/>
        </w:rPr>
        <w:t xml:space="preserve">4.1 </w:t>
      </w:r>
      <w:r>
        <w:rPr>
          <w:rFonts w:hint="eastAsia"/>
          <w:color w:val="000000"/>
        </w:rPr>
        <w:t>能够基于科学原理，通过文献研究或相关方法，调研和分析复杂材料工程问题的解决方案。</w:t>
      </w:r>
    </w:p>
    <w:p>
      <w:pPr>
        <w:widowControl/>
        <w:adjustRightInd w:val="0"/>
        <w:snapToGrid w:val="0"/>
        <w:spacing w:line="400" w:lineRule="exact"/>
        <w:ind w:firstLine="420" w:firstLineChars="200"/>
        <w:jc w:val="left"/>
        <w:rPr>
          <w:color w:val="000000"/>
        </w:rPr>
      </w:pPr>
      <w:r>
        <w:rPr>
          <w:color w:val="000000"/>
        </w:rPr>
        <w:t xml:space="preserve">4.2 </w:t>
      </w:r>
      <w:r>
        <w:rPr>
          <w:rFonts w:hint="eastAsia"/>
          <w:color w:val="000000"/>
        </w:rPr>
        <w:t>能够根据对象特征，选择研究路线，设计实验方案。</w:t>
      </w:r>
    </w:p>
    <w:p>
      <w:pPr>
        <w:widowControl/>
        <w:adjustRightInd w:val="0"/>
        <w:snapToGrid w:val="0"/>
        <w:spacing w:line="400" w:lineRule="exact"/>
        <w:ind w:firstLine="420" w:firstLineChars="200"/>
        <w:jc w:val="left"/>
        <w:rPr>
          <w:color w:val="000000"/>
        </w:rPr>
      </w:pPr>
      <w:r>
        <w:rPr>
          <w:rFonts w:hint="eastAsia"/>
          <w:color w:val="000000"/>
        </w:rPr>
        <w:t>4.3 能够根据实验方案构建实验系统，安全开展实验，正确采集和整理实验数据。</w:t>
      </w:r>
    </w:p>
    <w:p>
      <w:pPr>
        <w:widowControl/>
        <w:adjustRightInd w:val="0"/>
        <w:snapToGrid w:val="0"/>
        <w:spacing w:line="400" w:lineRule="exact"/>
        <w:ind w:firstLine="420" w:firstLineChars="200"/>
        <w:jc w:val="left"/>
        <w:rPr>
          <w:color w:val="000000"/>
        </w:rPr>
      </w:pPr>
      <w:r>
        <w:rPr>
          <w:color w:val="000000"/>
        </w:rPr>
        <w:t>4.</w:t>
      </w:r>
      <w:r>
        <w:rPr>
          <w:rFonts w:hint="eastAsia"/>
          <w:color w:val="000000"/>
        </w:rPr>
        <w:t>4 能够正确分析实验数据，合理解释实验现象，并通过信息综合得到合理有效的结论。</w:t>
      </w:r>
    </w:p>
    <w:p>
      <w:pPr>
        <w:widowControl/>
        <w:adjustRightInd w:val="0"/>
        <w:snapToGrid w:val="0"/>
        <w:spacing w:line="400" w:lineRule="exact"/>
        <w:ind w:firstLine="422" w:firstLineChars="200"/>
        <w:jc w:val="left"/>
        <w:rPr>
          <w:b/>
          <w:color w:val="000000"/>
        </w:rPr>
      </w:pPr>
      <w:r>
        <w:rPr>
          <w:rFonts w:hint="eastAsia"/>
          <w:b/>
          <w:color w:val="000000"/>
        </w:rPr>
        <w:t xml:space="preserve">5．使用现代工具：能够针对复杂工程问题，开发、 选择与使用恰当的技术、资源、现代工程工具和信息技术工具，包括对复杂化工工程问题的预测与模拟，并能够理解其局限性。 </w:t>
      </w:r>
    </w:p>
    <w:p>
      <w:pPr>
        <w:widowControl/>
        <w:adjustRightInd w:val="0"/>
        <w:snapToGrid w:val="0"/>
        <w:spacing w:line="400" w:lineRule="exact"/>
        <w:ind w:firstLine="420" w:firstLineChars="200"/>
        <w:jc w:val="left"/>
        <w:rPr>
          <w:color w:val="000000"/>
        </w:rPr>
      </w:pPr>
      <w:r>
        <w:rPr>
          <w:color w:val="000000"/>
        </w:rPr>
        <w:t>5.1</w:t>
      </w:r>
      <w:r>
        <w:rPr>
          <w:rFonts w:hint="eastAsia"/>
          <w:color w:val="000000"/>
          <w:kern w:val="0"/>
          <w:szCs w:val="21"/>
        </w:rPr>
        <w:t>了解材料科学与工程专业常用的现代仪器、信息技术工具、工程工具和模拟软件的使用原理和方法，并理解其局限性。</w:t>
      </w:r>
    </w:p>
    <w:p>
      <w:pPr>
        <w:widowControl/>
        <w:adjustRightInd w:val="0"/>
        <w:snapToGrid w:val="0"/>
        <w:spacing w:line="400" w:lineRule="exact"/>
        <w:ind w:firstLine="420" w:firstLineChars="200"/>
        <w:jc w:val="left"/>
        <w:rPr>
          <w:color w:val="000000"/>
        </w:rPr>
      </w:pPr>
      <w:r>
        <w:rPr>
          <w:color w:val="000000"/>
        </w:rPr>
        <w:t xml:space="preserve">5.2 </w:t>
      </w:r>
      <w:r>
        <w:rPr>
          <w:rFonts w:hint="eastAsia"/>
          <w:color w:val="000000"/>
        </w:rPr>
        <w:t>能够选择与使用恰当的仪器、信息资源、工程工具和专业模拟软件，对复杂工程问题进行分析、计算与设计。</w:t>
      </w:r>
    </w:p>
    <w:p>
      <w:pPr>
        <w:widowControl/>
        <w:adjustRightInd w:val="0"/>
        <w:snapToGrid w:val="0"/>
        <w:spacing w:line="400" w:lineRule="exact"/>
        <w:ind w:firstLine="420" w:firstLineChars="200"/>
        <w:jc w:val="left"/>
        <w:rPr>
          <w:color w:val="000000"/>
        </w:rPr>
      </w:pPr>
      <w:r>
        <w:rPr>
          <w:color w:val="000000"/>
        </w:rPr>
        <w:t>5.3</w:t>
      </w:r>
      <w:r>
        <w:rPr>
          <w:rFonts w:hint="eastAsia"/>
          <w:color w:val="000000"/>
        </w:rPr>
        <w:t xml:space="preserve"> 能够针对具体对象，开发、选择及使用现代工具对材料工程领域复杂工程问题进行恰当的表达、预测、模拟和优化。</w:t>
      </w:r>
    </w:p>
    <w:p>
      <w:pPr>
        <w:widowControl/>
        <w:adjustRightInd w:val="0"/>
        <w:snapToGrid w:val="0"/>
        <w:spacing w:line="400" w:lineRule="exact"/>
        <w:ind w:firstLine="422" w:firstLineChars="200"/>
        <w:jc w:val="left"/>
        <w:rPr>
          <w:b/>
          <w:color w:val="000000"/>
        </w:rPr>
      </w:pPr>
      <w:r>
        <w:rPr>
          <w:rFonts w:hint="eastAsia"/>
          <w:b/>
          <w:color w:val="000000"/>
        </w:rPr>
        <w:t>6．工程与社会：能够基于工程相关背景知识进行合理分析，评价专业工程实践和复杂工程问题解决方案对社会、健康、安全、法律以及文化的影响，并理解应承担的责任。</w:t>
      </w:r>
    </w:p>
    <w:p>
      <w:pPr>
        <w:widowControl/>
        <w:adjustRightInd w:val="0"/>
        <w:snapToGrid w:val="0"/>
        <w:spacing w:line="400" w:lineRule="exact"/>
        <w:ind w:firstLine="420" w:firstLineChars="200"/>
        <w:jc w:val="left"/>
        <w:rPr>
          <w:color w:val="000000"/>
        </w:rPr>
      </w:pPr>
      <w:r>
        <w:rPr>
          <w:color w:val="000000"/>
        </w:rPr>
        <w:t>6.1</w:t>
      </w:r>
      <w:r>
        <w:rPr>
          <w:rFonts w:hint="eastAsia"/>
          <w:color w:val="000000"/>
        </w:rPr>
        <w:t>了解材料工程领域的工程技术的技术标准体系、知识产权、产业政策和法律法规，理解不同社会文化对工程活动的影响。</w:t>
      </w:r>
    </w:p>
    <w:p>
      <w:pPr>
        <w:widowControl/>
        <w:adjustRightInd w:val="0"/>
        <w:snapToGrid w:val="0"/>
        <w:spacing w:line="400" w:lineRule="exact"/>
        <w:ind w:firstLine="420" w:firstLineChars="200"/>
        <w:jc w:val="left"/>
        <w:rPr>
          <w:color w:val="000000"/>
        </w:rPr>
      </w:pPr>
      <w:r>
        <w:rPr>
          <w:color w:val="000000"/>
        </w:rPr>
        <w:t>6.2</w:t>
      </w:r>
      <w:r>
        <w:rPr>
          <w:rFonts w:hint="eastAsia"/>
          <w:color w:val="000000"/>
        </w:rPr>
        <w:t>了解材料工程实践及解决方案的社会制约因素，能够合理分析与评价材料工程实践和复杂工程问题解决方案对社会、健康、安全、法律以及文化等方面的影响，并理解应承担的责任。</w:t>
      </w:r>
    </w:p>
    <w:p>
      <w:pPr>
        <w:widowControl/>
        <w:adjustRightInd w:val="0"/>
        <w:snapToGrid w:val="0"/>
        <w:spacing w:line="400" w:lineRule="exact"/>
        <w:ind w:firstLine="422" w:firstLineChars="200"/>
        <w:jc w:val="left"/>
        <w:rPr>
          <w:b/>
          <w:color w:val="000000"/>
        </w:rPr>
      </w:pPr>
      <w:r>
        <w:rPr>
          <w:rFonts w:hint="eastAsia"/>
          <w:b/>
          <w:color w:val="000000"/>
        </w:rPr>
        <w:t xml:space="preserve">7．环境和可持续发展：能够理解和评价针对复杂工程问题的工程实践对环境、社会可持续发展的影响。 </w:t>
      </w:r>
    </w:p>
    <w:p>
      <w:pPr>
        <w:widowControl/>
        <w:adjustRightInd w:val="0"/>
        <w:snapToGrid w:val="0"/>
        <w:spacing w:line="400" w:lineRule="exact"/>
        <w:ind w:firstLine="420" w:firstLineChars="200"/>
        <w:jc w:val="left"/>
        <w:rPr>
          <w:color w:val="000000"/>
        </w:rPr>
      </w:pPr>
      <w:r>
        <w:rPr>
          <w:color w:val="000000"/>
        </w:rPr>
        <w:t>7.1</w:t>
      </w:r>
      <w:r>
        <w:rPr>
          <w:rFonts w:hint="eastAsia"/>
          <w:color w:val="000000"/>
        </w:rPr>
        <w:t xml:space="preserve"> 知晓和理解</w:t>
      </w:r>
      <w:r>
        <w:rPr>
          <w:rFonts w:hint="eastAsia"/>
          <w:color w:val="000000"/>
          <w:kern w:val="0"/>
          <w:szCs w:val="18"/>
        </w:rPr>
        <w:t>环境保护和可持续发展的理念和内涵。</w:t>
      </w:r>
    </w:p>
    <w:p>
      <w:pPr>
        <w:widowControl/>
        <w:adjustRightInd w:val="0"/>
        <w:snapToGrid w:val="0"/>
        <w:spacing w:line="400" w:lineRule="exact"/>
        <w:ind w:firstLine="420" w:firstLineChars="200"/>
        <w:jc w:val="left"/>
        <w:rPr>
          <w:color w:val="000000"/>
        </w:rPr>
      </w:pPr>
      <w:r>
        <w:rPr>
          <w:color w:val="000000"/>
        </w:rPr>
        <w:t xml:space="preserve">7.2 </w:t>
      </w:r>
      <w:r>
        <w:rPr>
          <w:rFonts w:hint="eastAsia"/>
          <w:color w:val="000000"/>
        </w:rPr>
        <w:t>能够从环境保护和可持续发展的角度考虑材料工程实践的可持续性，</w:t>
      </w:r>
      <w:r>
        <w:rPr>
          <w:rFonts w:hint="eastAsia"/>
          <w:color w:val="000000"/>
          <w:szCs w:val="18"/>
        </w:rPr>
        <w:t>评价产品周期中可能对人类和环境造成的损害和隐患。</w:t>
      </w:r>
    </w:p>
    <w:p>
      <w:pPr>
        <w:widowControl/>
        <w:adjustRightInd w:val="0"/>
        <w:snapToGrid w:val="0"/>
        <w:spacing w:line="400" w:lineRule="exact"/>
        <w:ind w:firstLine="422" w:firstLineChars="200"/>
        <w:jc w:val="left"/>
        <w:rPr>
          <w:b/>
          <w:color w:val="000000"/>
        </w:rPr>
      </w:pPr>
      <w:r>
        <w:rPr>
          <w:rFonts w:hint="eastAsia"/>
          <w:b/>
          <w:color w:val="000000"/>
        </w:rPr>
        <w:t>8．职业规范：具有人文社会科学素养、社会责任感，能够在工程实践中理解并遵守工程职业道德和规范， 履行责任。</w:t>
      </w:r>
    </w:p>
    <w:p>
      <w:pPr>
        <w:widowControl/>
        <w:adjustRightInd w:val="0"/>
        <w:snapToGrid w:val="0"/>
        <w:spacing w:line="400" w:lineRule="exact"/>
        <w:ind w:firstLine="420" w:firstLineChars="200"/>
        <w:jc w:val="left"/>
        <w:rPr>
          <w:color w:val="000000"/>
        </w:rPr>
      </w:pPr>
      <w:r>
        <w:rPr>
          <w:color w:val="000000"/>
        </w:rPr>
        <w:t>8.1</w:t>
      </w:r>
      <w:r>
        <w:rPr>
          <w:rFonts w:hint="eastAsia"/>
          <w:color w:val="000000"/>
        </w:rPr>
        <w:t xml:space="preserve"> </w:t>
      </w:r>
      <w:r>
        <w:rPr>
          <w:rFonts w:hint="eastAsia"/>
          <w:color w:val="000000"/>
          <w:kern w:val="0"/>
          <w:szCs w:val="18"/>
        </w:rPr>
        <w:t>了解中国国情，理解个人与社会的关系，有正确的价值观和人生观。</w:t>
      </w:r>
    </w:p>
    <w:p>
      <w:pPr>
        <w:widowControl/>
        <w:adjustRightInd w:val="0"/>
        <w:snapToGrid w:val="0"/>
        <w:spacing w:line="400" w:lineRule="exact"/>
        <w:ind w:firstLine="420" w:firstLineChars="200"/>
        <w:jc w:val="left"/>
        <w:rPr>
          <w:color w:val="000000"/>
          <w:kern w:val="0"/>
          <w:szCs w:val="18"/>
        </w:rPr>
      </w:pPr>
      <w:r>
        <w:rPr>
          <w:color w:val="000000"/>
        </w:rPr>
        <w:t>8.2</w:t>
      </w:r>
      <w:r>
        <w:rPr>
          <w:rFonts w:hint="eastAsia"/>
          <w:color w:val="000000"/>
        </w:rPr>
        <w:t xml:space="preserve"> </w:t>
      </w:r>
      <w:r>
        <w:rPr>
          <w:rFonts w:hint="eastAsia"/>
          <w:color w:val="000000"/>
          <w:kern w:val="0"/>
          <w:szCs w:val="18"/>
        </w:rPr>
        <w:t>具有客观公正、诚信守则的工程职业道德，并能够在工程实践中自觉履行责任。</w:t>
      </w:r>
    </w:p>
    <w:p>
      <w:pPr>
        <w:widowControl/>
        <w:adjustRightInd w:val="0"/>
        <w:snapToGrid w:val="0"/>
        <w:spacing w:line="400" w:lineRule="exact"/>
        <w:ind w:firstLine="420" w:firstLineChars="200"/>
        <w:jc w:val="left"/>
        <w:rPr>
          <w:color w:val="000000"/>
          <w:kern w:val="0"/>
          <w:szCs w:val="18"/>
        </w:rPr>
      </w:pPr>
      <w:r>
        <w:rPr>
          <w:rFonts w:hint="eastAsia"/>
          <w:color w:val="000000"/>
          <w:kern w:val="0"/>
          <w:szCs w:val="18"/>
        </w:rPr>
        <w:t>8.3 理解工程师对公众的安全、健康、福祉以及环境保护的社会责任，能够在工程实践中自觉履行责任。</w:t>
      </w:r>
    </w:p>
    <w:p>
      <w:pPr>
        <w:widowControl/>
        <w:adjustRightInd w:val="0"/>
        <w:snapToGrid w:val="0"/>
        <w:spacing w:line="400" w:lineRule="exact"/>
        <w:ind w:firstLine="422" w:firstLineChars="200"/>
        <w:jc w:val="left"/>
        <w:rPr>
          <w:b/>
          <w:color w:val="000000"/>
        </w:rPr>
      </w:pPr>
      <w:r>
        <w:rPr>
          <w:rFonts w:hint="eastAsia"/>
          <w:b/>
          <w:color w:val="000000"/>
        </w:rPr>
        <w:t xml:space="preserve">9．个人和团队：能够在多学科背景下的团队中承担个体、团队成员以及负责人角色。 </w:t>
      </w:r>
    </w:p>
    <w:p>
      <w:pPr>
        <w:widowControl/>
        <w:adjustRightInd w:val="0"/>
        <w:snapToGrid w:val="0"/>
        <w:spacing w:line="400" w:lineRule="exact"/>
        <w:ind w:firstLine="420" w:firstLineChars="200"/>
        <w:jc w:val="left"/>
        <w:rPr>
          <w:color w:val="000000"/>
        </w:rPr>
      </w:pPr>
      <w:r>
        <w:rPr>
          <w:color w:val="000000"/>
        </w:rPr>
        <w:t xml:space="preserve">9.1 </w:t>
      </w:r>
      <w:r>
        <w:rPr>
          <w:rFonts w:hint="eastAsia"/>
          <w:color w:val="000000"/>
          <w:kern w:val="0"/>
          <w:szCs w:val="18"/>
        </w:rPr>
        <w:t>能够作为个体和团队成员，在多学科背景团队中</w:t>
      </w:r>
      <w:r>
        <w:rPr>
          <w:color w:val="000000"/>
          <w:kern w:val="0"/>
          <w:szCs w:val="18"/>
        </w:rPr>
        <w:t>与其他成员有效沟通</w:t>
      </w:r>
      <w:r>
        <w:rPr>
          <w:rFonts w:hint="eastAsia"/>
          <w:color w:val="000000"/>
          <w:kern w:val="0"/>
          <w:szCs w:val="18"/>
        </w:rPr>
        <w:t>，</w:t>
      </w:r>
      <w:r>
        <w:rPr>
          <w:color w:val="000000"/>
          <w:kern w:val="0"/>
          <w:szCs w:val="18"/>
        </w:rPr>
        <w:t>合作共事</w:t>
      </w:r>
      <w:r>
        <w:rPr>
          <w:rFonts w:hint="eastAsia"/>
          <w:color w:val="000000"/>
          <w:kern w:val="0"/>
          <w:szCs w:val="18"/>
        </w:rPr>
        <w:t>。</w:t>
      </w:r>
    </w:p>
    <w:p>
      <w:pPr>
        <w:widowControl/>
        <w:adjustRightInd w:val="0"/>
        <w:snapToGrid w:val="0"/>
        <w:spacing w:line="400" w:lineRule="exact"/>
        <w:ind w:firstLine="420" w:firstLineChars="200"/>
        <w:jc w:val="left"/>
        <w:rPr>
          <w:color w:val="000000"/>
        </w:rPr>
      </w:pPr>
      <w:r>
        <w:rPr>
          <w:color w:val="000000"/>
        </w:rPr>
        <w:t xml:space="preserve">9.2 </w:t>
      </w:r>
      <w:r>
        <w:rPr>
          <w:color w:val="000000"/>
          <w:szCs w:val="18"/>
        </w:rPr>
        <w:t>能够</w:t>
      </w:r>
      <w:r>
        <w:rPr>
          <w:rFonts w:hint="eastAsia"/>
          <w:color w:val="000000"/>
          <w:kern w:val="0"/>
          <w:szCs w:val="18"/>
        </w:rPr>
        <w:t>在团队中独立或合作开展工作，</w:t>
      </w:r>
      <w:r>
        <w:rPr>
          <w:color w:val="000000"/>
          <w:szCs w:val="18"/>
        </w:rPr>
        <w:t>能够</w:t>
      </w:r>
      <w:r>
        <w:rPr>
          <w:rFonts w:hint="eastAsia"/>
          <w:color w:val="000000"/>
          <w:kern w:val="0"/>
          <w:szCs w:val="18"/>
        </w:rPr>
        <w:t>组织、协调和指挥团队成员开展工作，实现目标。</w:t>
      </w:r>
    </w:p>
    <w:p>
      <w:pPr>
        <w:widowControl/>
        <w:adjustRightInd w:val="0"/>
        <w:snapToGrid w:val="0"/>
        <w:spacing w:line="400" w:lineRule="exact"/>
        <w:ind w:firstLine="422" w:firstLineChars="200"/>
        <w:jc w:val="left"/>
        <w:rPr>
          <w:b/>
          <w:color w:val="000000"/>
        </w:rPr>
      </w:pPr>
      <w:r>
        <w:rPr>
          <w:rFonts w:hint="eastAsia"/>
          <w:b/>
          <w:color w:val="000000"/>
        </w:rPr>
        <w:t xml:space="preserve">10．沟通：能够就复杂工程问题与业界同行及社会公众进有效沟通和交流，包括撰写报告和设计文稿、陈述发言、清晰表达或回应指令。并具备一定的国际视野，能够在跨文化背景下进行沟通和交流。 </w:t>
      </w:r>
    </w:p>
    <w:p>
      <w:pPr>
        <w:widowControl/>
        <w:adjustRightInd w:val="0"/>
        <w:snapToGrid w:val="0"/>
        <w:spacing w:line="400" w:lineRule="exact"/>
        <w:ind w:firstLine="420" w:firstLineChars="200"/>
        <w:jc w:val="left"/>
        <w:rPr>
          <w:color w:val="000000"/>
        </w:rPr>
      </w:pPr>
      <w:r>
        <w:rPr>
          <w:color w:val="000000"/>
        </w:rPr>
        <w:t xml:space="preserve">10.1 </w:t>
      </w:r>
      <w:r>
        <w:rPr>
          <w:color w:val="000000"/>
          <w:szCs w:val="18"/>
        </w:rPr>
        <w:t>能够</w:t>
      </w:r>
      <w:r>
        <w:rPr>
          <w:rFonts w:hint="eastAsia"/>
          <w:color w:val="000000"/>
          <w:kern w:val="0"/>
          <w:szCs w:val="18"/>
        </w:rPr>
        <w:t>就专业问题，以口头、文稿、图表等形式，准确表达自己观点，回应质疑，并能与业界同行和社会公众进行有效沟通与交流。</w:t>
      </w:r>
    </w:p>
    <w:p>
      <w:pPr>
        <w:widowControl/>
        <w:adjustRightInd w:val="0"/>
        <w:snapToGrid w:val="0"/>
        <w:spacing w:line="400" w:lineRule="exact"/>
        <w:ind w:firstLine="420" w:firstLineChars="200"/>
        <w:jc w:val="left"/>
        <w:rPr>
          <w:color w:val="000000"/>
          <w:kern w:val="0"/>
          <w:szCs w:val="18"/>
        </w:rPr>
      </w:pPr>
      <w:r>
        <w:rPr>
          <w:color w:val="000000"/>
        </w:rPr>
        <w:t>10.2</w:t>
      </w:r>
      <w:r>
        <w:rPr>
          <w:rFonts w:hint="eastAsia"/>
          <w:color w:val="000000"/>
        </w:rPr>
        <w:t xml:space="preserve"> </w:t>
      </w:r>
      <w:r>
        <w:rPr>
          <w:rFonts w:hint="eastAsia"/>
          <w:color w:val="000000"/>
          <w:kern w:val="0"/>
          <w:szCs w:val="18"/>
        </w:rPr>
        <w:t>了解专业领域的国际发展趋势、研究热点，理解和尊重世界不同文化的差异性和多样性。</w:t>
      </w:r>
    </w:p>
    <w:p>
      <w:pPr>
        <w:widowControl/>
        <w:adjustRightInd w:val="0"/>
        <w:snapToGrid w:val="0"/>
        <w:spacing w:line="400" w:lineRule="exact"/>
        <w:ind w:firstLine="420" w:firstLineChars="200"/>
        <w:jc w:val="left"/>
        <w:rPr>
          <w:color w:val="000000"/>
        </w:rPr>
      </w:pPr>
      <w:r>
        <w:rPr>
          <w:rFonts w:hint="eastAsia"/>
          <w:color w:val="000000"/>
          <w:kern w:val="0"/>
          <w:szCs w:val="18"/>
        </w:rPr>
        <w:t>10.3 具备跨文化交流的语言和书面表达能力，能就专业问题，在跨文化背景下进行基本沟通和交流。</w:t>
      </w:r>
    </w:p>
    <w:p>
      <w:pPr>
        <w:widowControl/>
        <w:adjustRightInd w:val="0"/>
        <w:snapToGrid w:val="0"/>
        <w:spacing w:line="400" w:lineRule="exact"/>
        <w:ind w:firstLine="422" w:firstLineChars="200"/>
        <w:jc w:val="left"/>
        <w:rPr>
          <w:b/>
          <w:color w:val="000000"/>
        </w:rPr>
      </w:pPr>
      <w:r>
        <w:rPr>
          <w:rFonts w:hint="eastAsia"/>
          <w:b/>
          <w:color w:val="000000"/>
        </w:rPr>
        <w:t>11．项目管理：理解并掌握工程管理原理与经济决策方法，并能在多学科环境中应用。</w:t>
      </w:r>
    </w:p>
    <w:p>
      <w:pPr>
        <w:widowControl/>
        <w:adjustRightInd w:val="0"/>
        <w:snapToGrid w:val="0"/>
        <w:spacing w:line="400" w:lineRule="exact"/>
        <w:ind w:left="420" w:leftChars="200"/>
        <w:jc w:val="left"/>
        <w:rPr>
          <w:color w:val="000000"/>
          <w:kern w:val="0"/>
          <w:szCs w:val="18"/>
        </w:rPr>
      </w:pPr>
      <w:r>
        <w:rPr>
          <w:color w:val="000000"/>
        </w:rPr>
        <w:t>11.1</w:t>
      </w:r>
      <w:r>
        <w:rPr>
          <w:rFonts w:hint="eastAsia"/>
          <w:color w:val="000000"/>
          <w:kern w:val="0"/>
          <w:szCs w:val="18"/>
        </w:rPr>
        <w:t>了解工程项目中涉及的重要经济与管理因素，掌握工程项目中涉及的管理与经济决策方法。</w:t>
      </w:r>
      <w:r>
        <w:rPr>
          <w:color w:val="000000"/>
        </w:rPr>
        <w:t xml:space="preserve">11.2 </w:t>
      </w:r>
      <w:r>
        <w:rPr>
          <w:color w:val="000000"/>
          <w:kern w:val="0"/>
          <w:szCs w:val="18"/>
        </w:rPr>
        <w:t>能够</w:t>
      </w:r>
      <w:r>
        <w:rPr>
          <w:rFonts w:hint="eastAsia"/>
          <w:color w:val="000000"/>
          <w:kern w:val="0"/>
          <w:szCs w:val="18"/>
        </w:rPr>
        <w:t>对材料工程项目进行可行性研究，了解工程及产品全周期、全流程的成本构成，理解其中涉及的工程管理与经济决策问题。</w:t>
      </w:r>
    </w:p>
    <w:p>
      <w:pPr>
        <w:widowControl/>
        <w:adjustRightInd w:val="0"/>
        <w:snapToGrid w:val="0"/>
        <w:spacing w:line="400" w:lineRule="exact"/>
        <w:ind w:left="420" w:leftChars="200"/>
        <w:jc w:val="left"/>
        <w:rPr>
          <w:color w:val="000000"/>
        </w:rPr>
      </w:pPr>
      <w:r>
        <w:rPr>
          <w:rFonts w:hint="eastAsia"/>
          <w:color w:val="000000"/>
          <w:kern w:val="0"/>
          <w:szCs w:val="18"/>
        </w:rPr>
        <w:t>11.3 能够在多学科环境下（包括模拟环境），在设计开发解决方案的过程中，运用工程管理与经济决策方法。</w:t>
      </w:r>
    </w:p>
    <w:p>
      <w:pPr>
        <w:widowControl/>
        <w:adjustRightInd w:val="0"/>
        <w:snapToGrid w:val="0"/>
        <w:spacing w:line="400" w:lineRule="exact"/>
        <w:ind w:firstLine="422" w:firstLineChars="200"/>
        <w:jc w:val="left"/>
        <w:rPr>
          <w:b/>
          <w:color w:val="000000"/>
        </w:rPr>
      </w:pPr>
      <w:r>
        <w:rPr>
          <w:rFonts w:hint="eastAsia"/>
          <w:b/>
          <w:color w:val="000000"/>
        </w:rPr>
        <w:t>12．终身学习：具有自主学习和终身学习的意识，有不断学习和适应发展的能力。</w:t>
      </w:r>
    </w:p>
    <w:p>
      <w:pPr>
        <w:widowControl/>
        <w:adjustRightInd w:val="0"/>
        <w:snapToGrid w:val="0"/>
        <w:spacing w:line="400" w:lineRule="exact"/>
        <w:ind w:firstLine="420" w:firstLineChars="200"/>
        <w:jc w:val="left"/>
        <w:rPr>
          <w:color w:val="000000"/>
        </w:rPr>
      </w:pPr>
      <w:r>
        <w:rPr>
          <w:color w:val="000000"/>
        </w:rPr>
        <w:t>12.1</w:t>
      </w:r>
      <w:r>
        <w:rPr>
          <w:rFonts w:hint="eastAsia"/>
          <w:color w:val="000000"/>
          <w:kern w:val="0"/>
          <w:szCs w:val="18"/>
        </w:rPr>
        <w:t>了解材料科学与工程专业的概况和发展现状，能将其与未来职业规划相联系，能够认识到自主和终身学习的必要性。</w:t>
      </w:r>
    </w:p>
    <w:p>
      <w:pPr>
        <w:widowControl/>
        <w:adjustRightInd w:val="0"/>
        <w:snapToGrid w:val="0"/>
        <w:spacing w:line="400" w:lineRule="exact"/>
        <w:ind w:firstLine="420" w:firstLineChars="200"/>
        <w:jc w:val="left"/>
        <w:rPr>
          <w:color w:val="000000"/>
          <w:sz w:val="18"/>
          <w:szCs w:val="18"/>
        </w:rPr>
      </w:pPr>
      <w:r>
        <w:rPr>
          <w:color w:val="000000"/>
        </w:rPr>
        <w:t xml:space="preserve">12.2 </w:t>
      </w:r>
      <w:r>
        <w:rPr>
          <w:rFonts w:hint="eastAsia"/>
          <w:color w:val="000000"/>
          <w:kern w:val="0"/>
          <w:szCs w:val="18"/>
        </w:rPr>
        <w:t>具有自主学习的能力，包括对技术问题的理解能力，归纳总结的能力和提出问题的能力等。</w:t>
      </w:r>
    </w:p>
    <w:p>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adjustRightInd w:val="0"/>
        <w:snapToGrid w:val="0"/>
        <w:spacing w:line="400" w:lineRule="exact"/>
        <w:jc w:val="center"/>
        <w:rPr>
          <w:bCs/>
          <w:color w:val="000000"/>
          <w:kern w:val="0"/>
          <w:sz w:val="18"/>
          <w:szCs w:val="18"/>
        </w:rPr>
      </w:pPr>
      <w:r>
        <w:rPr>
          <w:color w:val="000000"/>
          <w:sz w:val="18"/>
          <w:szCs w:val="18"/>
        </w:rPr>
        <w:t>表1 毕业要求对培养目标的支撑情况</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8"/>
        <w:gridCol w:w="1122"/>
        <w:gridCol w:w="1238"/>
        <w:gridCol w:w="1238"/>
        <w:gridCol w:w="1238"/>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28" w:type="dxa"/>
            <w:vMerge w:val="restart"/>
            <w:vAlign w:val="center"/>
          </w:tcPr>
          <w:p>
            <w:pPr>
              <w:pStyle w:val="6"/>
              <w:snapToGrid w:val="0"/>
              <w:rPr>
                <w:b/>
                <w:bCs w:val="0"/>
                <w:color w:val="000000"/>
                <w:szCs w:val="18"/>
              </w:rPr>
            </w:pPr>
            <w:r>
              <w:rPr>
                <w:b/>
                <w:bCs w:val="0"/>
                <w:color w:val="000000"/>
                <w:szCs w:val="18"/>
              </w:rPr>
              <w:t>毕业要求</w:t>
            </w:r>
          </w:p>
        </w:tc>
        <w:tc>
          <w:tcPr>
            <w:tcW w:w="4856" w:type="dxa"/>
            <w:gridSpan w:val="5"/>
            <w:vAlign w:val="center"/>
          </w:tcPr>
          <w:p>
            <w:pPr>
              <w:pStyle w:val="5"/>
              <w:adjustRightInd w:val="0"/>
              <w:snapToGrid w:val="0"/>
              <w:spacing w:after="0"/>
              <w:jc w:val="center"/>
              <w:rPr>
                <w:b/>
                <w:color w:val="000000"/>
                <w:sz w:val="18"/>
                <w:szCs w:val="18"/>
              </w:rPr>
            </w:pPr>
            <w:r>
              <w:rPr>
                <w:b/>
                <w:color w:val="000000"/>
                <w:sz w:val="18"/>
                <w:szCs w:val="18"/>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Merge w:val="continue"/>
            <w:vAlign w:val="center"/>
          </w:tcPr>
          <w:p>
            <w:pPr>
              <w:pStyle w:val="6"/>
              <w:snapToGrid w:val="0"/>
              <w:rPr>
                <w:color w:val="000000"/>
                <w:szCs w:val="18"/>
              </w:rPr>
            </w:pPr>
          </w:p>
        </w:tc>
        <w:tc>
          <w:tcPr>
            <w:tcW w:w="1122" w:type="dxa"/>
            <w:vAlign w:val="center"/>
          </w:tcPr>
          <w:p>
            <w:pPr>
              <w:pStyle w:val="6"/>
              <w:snapToGrid w:val="0"/>
              <w:rPr>
                <w:b/>
                <w:color w:val="000000"/>
                <w:szCs w:val="18"/>
              </w:rPr>
            </w:pPr>
            <w:r>
              <w:rPr>
                <w:b/>
                <w:color w:val="000000"/>
                <w:szCs w:val="18"/>
              </w:rPr>
              <w:t>培养目标1</w:t>
            </w:r>
          </w:p>
        </w:tc>
        <w:tc>
          <w:tcPr>
            <w:tcW w:w="1238" w:type="dxa"/>
            <w:vAlign w:val="center"/>
          </w:tcPr>
          <w:p>
            <w:pPr>
              <w:widowControl/>
              <w:autoSpaceDE w:val="0"/>
              <w:autoSpaceDN w:val="0"/>
              <w:adjustRightInd w:val="0"/>
              <w:snapToGrid w:val="0"/>
              <w:jc w:val="center"/>
              <w:rPr>
                <w:bCs/>
                <w:color w:val="000000"/>
                <w:kern w:val="0"/>
                <w:sz w:val="18"/>
                <w:szCs w:val="18"/>
              </w:rPr>
            </w:pPr>
            <w:r>
              <w:rPr>
                <w:b/>
                <w:color w:val="000000"/>
                <w:sz w:val="18"/>
                <w:szCs w:val="18"/>
              </w:rPr>
              <w:t>培养目标2</w:t>
            </w:r>
          </w:p>
        </w:tc>
        <w:tc>
          <w:tcPr>
            <w:tcW w:w="1238" w:type="dxa"/>
            <w:vAlign w:val="center"/>
          </w:tcPr>
          <w:p>
            <w:pPr>
              <w:pStyle w:val="6"/>
              <w:snapToGrid w:val="0"/>
              <w:rPr>
                <w:color w:val="000000"/>
                <w:szCs w:val="18"/>
              </w:rPr>
            </w:pPr>
            <w:r>
              <w:rPr>
                <w:b/>
                <w:color w:val="000000"/>
                <w:szCs w:val="18"/>
              </w:rPr>
              <w:t>培养目标3</w:t>
            </w:r>
          </w:p>
        </w:tc>
        <w:tc>
          <w:tcPr>
            <w:tcW w:w="1238" w:type="dxa"/>
            <w:vAlign w:val="center"/>
          </w:tcPr>
          <w:p>
            <w:pPr>
              <w:widowControl/>
              <w:autoSpaceDE w:val="0"/>
              <w:autoSpaceDN w:val="0"/>
              <w:adjustRightInd w:val="0"/>
              <w:snapToGrid w:val="0"/>
              <w:jc w:val="center"/>
              <w:rPr>
                <w:b/>
                <w:color w:val="000000"/>
                <w:sz w:val="18"/>
                <w:szCs w:val="18"/>
              </w:rPr>
            </w:pPr>
            <w:r>
              <w:rPr>
                <w:b/>
                <w:color w:val="000000"/>
                <w:sz w:val="18"/>
                <w:szCs w:val="18"/>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90" w:hRule="atLeast"/>
          <w:jc w:val="center"/>
        </w:trPr>
        <w:tc>
          <w:tcPr>
            <w:tcW w:w="2428" w:type="dxa"/>
            <w:vAlign w:val="center"/>
          </w:tcPr>
          <w:p>
            <w:pPr>
              <w:pStyle w:val="6"/>
              <w:snapToGrid w:val="0"/>
              <w:jc w:val="both"/>
              <w:rPr>
                <w:color w:val="000000"/>
                <w:szCs w:val="18"/>
              </w:rPr>
            </w:pPr>
            <w:r>
              <w:rPr>
                <w:color w:val="000000"/>
                <w:szCs w:val="18"/>
              </w:rPr>
              <w:t>1．工程知识</w:t>
            </w:r>
          </w:p>
        </w:tc>
        <w:tc>
          <w:tcPr>
            <w:tcW w:w="1122"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2．问题分析</w:t>
            </w:r>
          </w:p>
        </w:tc>
        <w:tc>
          <w:tcPr>
            <w:tcW w:w="1122"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90" w:hRule="atLeast"/>
          <w:jc w:val="center"/>
        </w:trPr>
        <w:tc>
          <w:tcPr>
            <w:tcW w:w="2428" w:type="dxa"/>
            <w:vAlign w:val="center"/>
          </w:tcPr>
          <w:p>
            <w:pPr>
              <w:pStyle w:val="6"/>
              <w:snapToGrid w:val="0"/>
              <w:jc w:val="both"/>
              <w:rPr>
                <w:color w:val="000000"/>
                <w:szCs w:val="18"/>
              </w:rPr>
            </w:pPr>
            <w:r>
              <w:rPr>
                <w:color w:val="000000"/>
                <w:szCs w:val="18"/>
              </w:rPr>
              <w:t>3．设计/开发解决方案</w:t>
            </w:r>
          </w:p>
        </w:tc>
        <w:tc>
          <w:tcPr>
            <w:tcW w:w="1122"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4．研究</w:t>
            </w:r>
          </w:p>
        </w:tc>
        <w:tc>
          <w:tcPr>
            <w:tcW w:w="1122"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5．使用现代工具</w:t>
            </w:r>
          </w:p>
        </w:tc>
        <w:tc>
          <w:tcPr>
            <w:tcW w:w="1122"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6．工程与社会</w:t>
            </w:r>
          </w:p>
        </w:tc>
        <w:tc>
          <w:tcPr>
            <w:tcW w:w="1122"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7．环境和可持续发展</w:t>
            </w:r>
          </w:p>
        </w:tc>
        <w:tc>
          <w:tcPr>
            <w:tcW w:w="1122"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8．职业规范</w:t>
            </w:r>
          </w:p>
        </w:tc>
        <w:tc>
          <w:tcPr>
            <w:tcW w:w="1122"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9．个人和团队</w:t>
            </w:r>
          </w:p>
        </w:tc>
        <w:tc>
          <w:tcPr>
            <w:tcW w:w="1122"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10．沟通</w:t>
            </w:r>
          </w:p>
        </w:tc>
        <w:tc>
          <w:tcPr>
            <w:tcW w:w="1122"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11．项目管理</w:t>
            </w:r>
          </w:p>
        </w:tc>
        <w:tc>
          <w:tcPr>
            <w:tcW w:w="1122"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p>
        </w:tc>
        <w:tc>
          <w:tcPr>
            <w:tcW w:w="1238" w:type="dxa"/>
            <w:vAlign w:val="center"/>
          </w:tcPr>
          <w:p>
            <w:pPr>
              <w:adjustRightInd w:val="0"/>
              <w:snapToGrid w:val="0"/>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2428" w:type="dxa"/>
            <w:vAlign w:val="center"/>
          </w:tcPr>
          <w:p>
            <w:pPr>
              <w:pStyle w:val="6"/>
              <w:snapToGrid w:val="0"/>
              <w:jc w:val="both"/>
              <w:rPr>
                <w:color w:val="000000"/>
                <w:szCs w:val="18"/>
              </w:rPr>
            </w:pPr>
            <w:r>
              <w:rPr>
                <w:color w:val="000000"/>
                <w:szCs w:val="18"/>
              </w:rPr>
              <w:t>12．终身学习</w:t>
            </w:r>
          </w:p>
        </w:tc>
        <w:tc>
          <w:tcPr>
            <w:tcW w:w="1122"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r>
              <w:rPr>
                <w:rFonts w:hint="eastAsia"/>
                <w:color w:val="000000"/>
                <w:sz w:val="18"/>
                <w:szCs w:val="18"/>
              </w:rPr>
              <w:t>√</w:t>
            </w:r>
          </w:p>
        </w:tc>
        <w:tc>
          <w:tcPr>
            <w:tcW w:w="1238" w:type="dxa"/>
            <w:vAlign w:val="center"/>
          </w:tcPr>
          <w:p>
            <w:pPr>
              <w:adjustRightInd w:val="0"/>
              <w:snapToGrid w:val="0"/>
              <w:jc w:val="center"/>
              <w:rPr>
                <w:color w:val="000000"/>
                <w:sz w:val="18"/>
                <w:szCs w:val="18"/>
              </w:rPr>
            </w:pPr>
          </w:p>
        </w:tc>
      </w:tr>
    </w:tbl>
    <w:p>
      <w:pPr>
        <w:adjustRightInd w:val="0"/>
        <w:snapToGrid w:val="0"/>
        <w:spacing w:before="156" w:beforeLines="50" w:line="324" w:lineRule="auto"/>
        <w:ind w:firstLine="482" w:firstLineChars="200"/>
        <w:rPr>
          <w:b/>
          <w:bCs/>
          <w:color w:val="000000"/>
          <w:sz w:val="24"/>
        </w:rPr>
      </w:pPr>
      <w:r>
        <w:rPr>
          <w:b/>
          <w:bCs/>
          <w:color w:val="000000"/>
          <w:sz w:val="24"/>
        </w:rPr>
        <w:t>四、学制与毕业条件</w:t>
      </w:r>
    </w:p>
    <w:p>
      <w:pPr>
        <w:widowControl/>
        <w:adjustRightInd w:val="0"/>
        <w:snapToGrid w:val="0"/>
        <w:spacing w:line="400" w:lineRule="exact"/>
        <w:ind w:firstLine="422" w:firstLineChars="200"/>
        <w:jc w:val="left"/>
        <w:rPr>
          <w:color w:val="000000"/>
        </w:rPr>
      </w:pPr>
      <w:r>
        <w:rPr>
          <w:b/>
          <w:bCs/>
          <w:color w:val="000000"/>
        </w:rPr>
        <w:t>学制</w:t>
      </w:r>
      <w:r>
        <w:rPr>
          <w:color w:val="000000"/>
        </w:rPr>
        <w:t>：标准学制4年，最长学习年限6年。</w:t>
      </w:r>
    </w:p>
    <w:p>
      <w:pPr>
        <w:widowControl/>
        <w:adjustRightInd w:val="0"/>
        <w:snapToGrid w:val="0"/>
        <w:spacing w:line="400" w:lineRule="exact"/>
        <w:ind w:firstLine="422" w:firstLineChars="200"/>
        <w:jc w:val="left"/>
        <w:rPr>
          <w:color w:val="000000"/>
        </w:rPr>
      </w:pPr>
      <w:r>
        <w:rPr>
          <w:b/>
          <w:bCs/>
          <w:color w:val="000000"/>
        </w:rPr>
        <w:t>毕业条件</w:t>
      </w:r>
      <w:r>
        <w:rPr>
          <w:color w:val="000000"/>
        </w:rPr>
        <w:t>：修满人才培养方案规定学分，获得至少4个学校认定的创新创业实践学分，体质健康测试合格。</w:t>
      </w:r>
    </w:p>
    <w:p>
      <w:pPr>
        <w:adjustRightInd w:val="0"/>
        <w:snapToGrid w:val="0"/>
        <w:spacing w:before="156" w:beforeLines="50" w:line="324" w:lineRule="auto"/>
        <w:ind w:firstLine="482" w:firstLineChars="200"/>
        <w:rPr>
          <w:b/>
          <w:bCs/>
          <w:color w:val="000000"/>
          <w:sz w:val="24"/>
        </w:rPr>
      </w:pPr>
      <w:r>
        <w:rPr>
          <w:b/>
          <w:bCs/>
          <w:color w:val="000000"/>
          <w:sz w:val="24"/>
        </w:rPr>
        <w:t>五、学位及授予条件</w:t>
      </w:r>
    </w:p>
    <w:p>
      <w:pPr>
        <w:widowControl/>
        <w:adjustRightInd w:val="0"/>
        <w:snapToGrid w:val="0"/>
        <w:spacing w:line="400" w:lineRule="exact"/>
        <w:ind w:firstLine="420" w:firstLineChars="200"/>
        <w:jc w:val="left"/>
        <w:rPr>
          <w:color w:val="000000"/>
        </w:rPr>
      </w:pPr>
      <w:r>
        <w:rPr>
          <w:color w:val="000000"/>
        </w:rPr>
        <w:t>符合《徐州工程学院学士学位授予工作实施细则》的相关规定，授予工学学士学位。</w:t>
      </w:r>
    </w:p>
    <w:p>
      <w:pPr>
        <w:adjustRightInd w:val="0"/>
        <w:snapToGrid w:val="0"/>
        <w:spacing w:before="156" w:beforeLines="50" w:line="324" w:lineRule="auto"/>
        <w:ind w:firstLine="482" w:firstLineChars="200"/>
        <w:rPr>
          <w:b/>
          <w:bCs/>
          <w:color w:val="000000"/>
          <w:sz w:val="24"/>
        </w:rPr>
      </w:pPr>
      <w:r>
        <w:rPr>
          <w:b/>
          <w:bCs/>
          <w:color w:val="000000"/>
          <w:sz w:val="24"/>
        </w:rPr>
        <w:t>六、专业核心课程</w:t>
      </w:r>
    </w:p>
    <w:p>
      <w:pPr>
        <w:numPr>
          <w:ilvl w:val="0"/>
          <w:numId w:val="1"/>
        </w:numPr>
        <w:adjustRightInd w:val="0"/>
        <w:snapToGrid w:val="0"/>
        <w:spacing w:line="400" w:lineRule="atLeast"/>
        <w:ind w:firstLine="517" w:firstLineChars="245"/>
        <w:rPr>
          <w:b/>
          <w:color w:val="000000"/>
        </w:rPr>
      </w:pPr>
      <w:r>
        <w:rPr>
          <w:b/>
          <w:color w:val="000000"/>
        </w:rPr>
        <w:t>材料科学与工程基础(I)（</w:t>
      </w:r>
      <w:r>
        <w:rPr>
          <w:b/>
          <w:color w:val="000000"/>
          <w:szCs w:val="21"/>
        </w:rPr>
        <w:t xml:space="preserve">Fundamentals of Materials Science and Engineering </w:t>
      </w:r>
      <w:r>
        <w:rPr>
          <w:rFonts w:hint="eastAsia"/>
          <w:b/>
          <w:color w:val="000000"/>
          <w:szCs w:val="21"/>
        </w:rPr>
        <w:t>I</w:t>
      </w:r>
      <w:r>
        <w:rPr>
          <w:b/>
          <w:color w:val="000000"/>
          <w:szCs w:val="21"/>
        </w:rPr>
        <w:t>）</w:t>
      </w:r>
      <w:r>
        <w:rPr>
          <w:b/>
          <w:color w:val="000000"/>
        </w:rPr>
        <w:t xml:space="preserve">  </w:t>
      </w:r>
      <w:r>
        <w:rPr>
          <w:b/>
          <w:color w:val="000000"/>
          <w:szCs w:val="21"/>
        </w:rPr>
        <w:t>3学分</w:t>
      </w:r>
    </w:p>
    <w:p>
      <w:pPr>
        <w:adjustRightInd w:val="0"/>
        <w:snapToGrid w:val="0"/>
        <w:spacing w:line="400" w:lineRule="atLeast"/>
        <w:ind w:firstLine="411" w:firstLineChars="196"/>
        <w:rPr>
          <w:b/>
          <w:color w:val="000000"/>
        </w:rPr>
      </w:pPr>
      <w:r>
        <w:rPr>
          <w:bCs/>
          <w:color w:val="000000"/>
          <w:szCs w:val="21"/>
        </w:rPr>
        <w:t>材料科学与工程基础（</w:t>
      </w:r>
      <w:r>
        <w:rPr>
          <w:color w:val="000000"/>
          <w:szCs w:val="21"/>
        </w:rPr>
        <w:t>I）</w:t>
      </w:r>
      <w:r>
        <w:rPr>
          <w:bCs/>
          <w:color w:val="000000"/>
          <w:szCs w:val="21"/>
        </w:rPr>
        <w:t>是材料科学与工程专业的一门专业核心课，材料科学与工程基础将材料科学与材料加工基础理论融为一体，全面系统的介绍材料的成分/组织结构、制备加工工艺和性能之间的相互关系，在此基础上赋予材料一定的外形尺寸和表面状态，同时可控和决定材料变成产品后的内部组织和性能。通过本课程的学习，使学生掌握材料中原子的基本结构与结合方式，掌握材料固态结构及其缺陷的基本理论，掌握材料中原子和分子的扩散方式，掌握材料相图的基本知识，从而能够理解材料的内部微观结构、材料成分、组织结构与性能之间的相互关系。</w:t>
      </w:r>
    </w:p>
    <w:p>
      <w:pPr>
        <w:numPr>
          <w:ilvl w:val="0"/>
          <w:numId w:val="1"/>
        </w:numPr>
        <w:adjustRightInd w:val="0"/>
        <w:snapToGrid w:val="0"/>
        <w:spacing w:line="400" w:lineRule="atLeast"/>
        <w:ind w:firstLine="517" w:firstLineChars="245"/>
        <w:rPr>
          <w:b/>
          <w:color w:val="000000"/>
        </w:rPr>
      </w:pPr>
      <w:r>
        <w:rPr>
          <w:b/>
          <w:color w:val="000000"/>
        </w:rPr>
        <w:t>材料科学与工程基础(II)（</w:t>
      </w:r>
      <w:r>
        <w:rPr>
          <w:b/>
          <w:color w:val="000000"/>
          <w:szCs w:val="21"/>
        </w:rPr>
        <w:t xml:space="preserve">Fundamentals of Materials Science and Engineering </w:t>
      </w:r>
      <w:r>
        <w:rPr>
          <w:rFonts w:hint="eastAsia"/>
          <w:b/>
          <w:color w:val="000000"/>
          <w:szCs w:val="21"/>
        </w:rPr>
        <w:t>II</w:t>
      </w:r>
      <w:r>
        <w:rPr>
          <w:b/>
          <w:color w:val="000000"/>
          <w:szCs w:val="21"/>
        </w:rPr>
        <w:t>）</w:t>
      </w:r>
      <w:r>
        <w:rPr>
          <w:b/>
          <w:color w:val="000000"/>
        </w:rPr>
        <w:t xml:space="preserve">  </w:t>
      </w:r>
      <w:r>
        <w:rPr>
          <w:b/>
          <w:color w:val="000000"/>
          <w:szCs w:val="21"/>
        </w:rPr>
        <w:t>3学分</w:t>
      </w:r>
    </w:p>
    <w:p>
      <w:pPr>
        <w:adjustRightInd w:val="0"/>
        <w:snapToGrid w:val="0"/>
        <w:spacing w:line="400" w:lineRule="atLeast"/>
        <w:ind w:firstLine="411" w:firstLineChars="196"/>
        <w:rPr>
          <w:b/>
          <w:color w:val="000000"/>
        </w:rPr>
      </w:pPr>
      <w:r>
        <w:rPr>
          <w:bCs/>
          <w:color w:val="000000"/>
          <w:szCs w:val="21"/>
        </w:rPr>
        <w:t>材料科学与工程基础</w:t>
      </w:r>
      <w:r>
        <w:rPr>
          <w:color w:val="000000"/>
          <w:szCs w:val="21"/>
        </w:rPr>
        <w:t>（II）</w:t>
      </w:r>
      <w:r>
        <w:rPr>
          <w:bCs/>
          <w:color w:val="000000"/>
          <w:szCs w:val="21"/>
        </w:rPr>
        <w:t>是材料科学与工程专业的一门专业核心课，本课程是研究材料及其加工过程的科学，是现代材料加工的理论基础，通过本课程的学习，使学生掌握材料的制取方法，掌握材料加工过程中的固态相变，掌握材料加工成形中的传热理论、流动行为和力学基础，掌握材料加工变形过程的机理、回复与再结晶过程。同时了解国内外有关材料加工先进理论与成就，综合运用所学材料加工的基本理论和知识，解释和解决材料科学与工程应用的问题，为</w:t>
      </w:r>
      <w:r>
        <w:rPr>
          <w:color w:val="000000"/>
          <w:szCs w:val="21"/>
        </w:rPr>
        <w:t>学习后续材料专业课程打下坚实的基础。</w:t>
      </w:r>
    </w:p>
    <w:p>
      <w:pPr>
        <w:numPr>
          <w:ilvl w:val="0"/>
          <w:numId w:val="1"/>
        </w:numPr>
        <w:adjustRightInd w:val="0"/>
        <w:snapToGrid w:val="0"/>
        <w:spacing w:line="400" w:lineRule="atLeast"/>
        <w:ind w:firstLine="517" w:firstLineChars="245"/>
        <w:rPr>
          <w:b/>
          <w:color w:val="000000"/>
        </w:rPr>
      </w:pPr>
      <w:r>
        <w:rPr>
          <w:b/>
          <w:color w:val="000000"/>
          <w:szCs w:val="21"/>
        </w:rPr>
        <w:t>材料制备与合成</w:t>
      </w:r>
      <w:r>
        <w:rPr>
          <w:b/>
          <w:color w:val="000000"/>
        </w:rPr>
        <w:t>（</w:t>
      </w:r>
      <w:r>
        <w:rPr>
          <w:b/>
          <w:color w:val="000000"/>
          <w:szCs w:val="21"/>
        </w:rPr>
        <w:t>Preparation and Synthesis of  Materials）</w:t>
      </w:r>
      <w:r>
        <w:rPr>
          <w:b/>
          <w:color w:val="000000"/>
        </w:rPr>
        <w:t xml:space="preserve">  </w:t>
      </w:r>
      <w:r>
        <w:rPr>
          <w:b/>
          <w:color w:val="000000"/>
          <w:szCs w:val="21"/>
        </w:rPr>
        <w:t xml:space="preserve">2学分 </w:t>
      </w:r>
    </w:p>
    <w:p>
      <w:pPr>
        <w:widowControl/>
        <w:adjustRightInd w:val="0"/>
        <w:snapToGrid w:val="0"/>
        <w:spacing w:line="390" w:lineRule="atLeast"/>
        <w:ind w:firstLine="525" w:firstLineChars="250"/>
        <w:jc w:val="left"/>
        <w:rPr>
          <w:color w:val="000000"/>
        </w:rPr>
      </w:pPr>
      <w:r>
        <w:rPr>
          <w:color w:val="000000"/>
        </w:rPr>
        <w:t>先进材料合成与制备技术是材料科学与工程专业的一门专业核心课，全面系统地介绍了目前热点形态材料和高新材料的常用材料制备方法、制备原理、操作设备以及制备工艺方法等以及材料制备过程中涉及的材料显微组织演化的基本概念和规律，有利于培养学生树立以获取特定材料组成与结构为目的的材料科学研究的核心思想，为学习后续课程以及今后从事材料科学与工程相关的生产实践和科学研究打下坚实的基础。</w:t>
      </w:r>
    </w:p>
    <w:p>
      <w:pPr>
        <w:widowControl/>
        <w:numPr>
          <w:ilvl w:val="0"/>
          <w:numId w:val="1"/>
        </w:numPr>
        <w:adjustRightInd w:val="0"/>
        <w:snapToGrid w:val="0"/>
        <w:spacing w:line="390" w:lineRule="atLeast"/>
        <w:ind w:firstLine="517" w:firstLineChars="245"/>
        <w:jc w:val="left"/>
        <w:rPr>
          <w:b/>
          <w:bCs/>
          <w:color w:val="000000"/>
        </w:rPr>
      </w:pPr>
      <w:r>
        <w:rPr>
          <w:b/>
          <w:bCs/>
          <w:color w:val="000000"/>
        </w:rPr>
        <w:t>材料物理性能（Physical Properties of Materials）  3学分</w:t>
      </w:r>
    </w:p>
    <w:p>
      <w:pPr>
        <w:shd w:val="clear" w:color="auto" w:fill="FFFFFF"/>
        <w:adjustRightInd w:val="0"/>
        <w:snapToGrid w:val="0"/>
        <w:spacing w:line="390" w:lineRule="atLeast"/>
        <w:ind w:firstLine="420" w:firstLineChars="200"/>
        <w:rPr>
          <w:b/>
          <w:bCs/>
          <w:color w:val="000000"/>
        </w:rPr>
      </w:pPr>
      <w:r>
        <w:rPr>
          <w:color w:val="000000"/>
          <w:szCs w:val="21"/>
        </w:rPr>
        <w:t>材料物理性能是材料科学与工程专业的</w:t>
      </w:r>
      <w:r>
        <w:rPr>
          <w:bCs/>
          <w:color w:val="000000"/>
          <w:szCs w:val="21"/>
        </w:rPr>
        <w:t>一门</w:t>
      </w:r>
      <w:r>
        <w:rPr>
          <w:color w:val="000000"/>
          <w:szCs w:val="21"/>
        </w:rPr>
        <w:t>专业核心课，本课程主要内容包括：材料性能的各类本征参数的物理意义和单位以及这些参数在解决实际问题中所处的地位；材料性能和材料的组成、结构和构造之间的关系。通过学习材料的各种物理性能，掌握材料的主要物理性能的基本概念、物理本质、主要影响因素，以及提高材料物理性能的主要途径，有助于培养学生对材料相关问题的分析、解决能力和实验技能，为研发先进功能材料打下坚实的基础。</w:t>
      </w:r>
    </w:p>
    <w:p>
      <w:pPr>
        <w:numPr>
          <w:ilvl w:val="0"/>
          <w:numId w:val="1"/>
        </w:numPr>
        <w:adjustRightInd w:val="0"/>
        <w:snapToGrid w:val="0"/>
        <w:spacing w:line="390" w:lineRule="atLeast"/>
        <w:ind w:firstLine="517" w:firstLineChars="245"/>
        <w:rPr>
          <w:b/>
          <w:bCs/>
          <w:color w:val="000000"/>
        </w:rPr>
      </w:pPr>
      <w:r>
        <w:rPr>
          <w:b/>
          <w:bCs/>
          <w:color w:val="000000"/>
        </w:rPr>
        <w:t>材料加工原理（</w:t>
      </w:r>
      <w:r>
        <w:rPr>
          <w:b/>
          <w:bCs/>
          <w:color w:val="000000"/>
          <w:szCs w:val="21"/>
        </w:rPr>
        <w:t>Materials Processing Principle</w:t>
      </w:r>
      <w:r>
        <w:rPr>
          <w:b/>
          <w:bCs/>
          <w:color w:val="000000"/>
        </w:rPr>
        <w:t>）  3学分</w:t>
      </w:r>
    </w:p>
    <w:p>
      <w:pPr>
        <w:pStyle w:val="59"/>
        <w:adjustRightInd w:val="0"/>
        <w:snapToGrid w:val="0"/>
        <w:spacing w:line="390" w:lineRule="atLeast"/>
        <w:ind w:firstLine="525" w:firstLineChars="250"/>
        <w:rPr>
          <w:b/>
          <w:bCs/>
          <w:color w:val="000000"/>
        </w:rPr>
      </w:pPr>
      <w:r>
        <w:rPr>
          <w:bCs/>
          <w:color w:val="000000"/>
          <w:szCs w:val="21"/>
        </w:rPr>
        <w:t>材料加工原理</w:t>
      </w:r>
      <w:r>
        <w:rPr>
          <w:color w:val="000000"/>
          <w:szCs w:val="21"/>
        </w:rPr>
        <w:t>是材料科学与工程专业的</w:t>
      </w:r>
      <w:r>
        <w:rPr>
          <w:bCs/>
          <w:color w:val="000000"/>
          <w:szCs w:val="21"/>
        </w:rPr>
        <w:t>一门</w:t>
      </w:r>
      <w:r>
        <w:rPr>
          <w:color w:val="000000"/>
          <w:szCs w:val="21"/>
        </w:rPr>
        <w:t>专业核心课。本课程主要讲述液态加工、凝固加工、半固态加工、固态变形加工、连接加工等过程中材料的结构、性能、形状随外加加工条件而变化的规律。内容涉及物理冶金、化学冶金、力学冶金以及热量传输、动量传输、质量传输等基础理论和专业知识。本课程的任务就是要阐释这些现象的本质，揭示变化的规律，使材料科学与工程专业的学生掌握材料加工的实质，为理解和解决材料加工过程中新发现的问题，发展新的加工技术奠定理论基础。</w:t>
      </w:r>
    </w:p>
    <w:p>
      <w:pPr>
        <w:numPr>
          <w:ilvl w:val="0"/>
          <w:numId w:val="1"/>
        </w:numPr>
        <w:adjustRightInd w:val="0"/>
        <w:snapToGrid w:val="0"/>
        <w:spacing w:line="390" w:lineRule="atLeast"/>
        <w:ind w:firstLine="517" w:firstLineChars="245"/>
        <w:rPr>
          <w:b/>
          <w:bCs/>
          <w:color w:val="000000"/>
        </w:rPr>
      </w:pPr>
      <w:r>
        <w:rPr>
          <w:b/>
          <w:bCs/>
          <w:color w:val="000000"/>
        </w:rPr>
        <w:t>应用电化学（Applied Electrochemistry）  3学分</w:t>
      </w:r>
    </w:p>
    <w:p>
      <w:pPr>
        <w:adjustRightInd w:val="0"/>
        <w:snapToGrid w:val="0"/>
        <w:spacing w:line="390" w:lineRule="atLeast"/>
        <w:ind w:firstLine="420" w:firstLineChars="200"/>
        <w:rPr>
          <w:b/>
          <w:bCs/>
          <w:color w:val="000000"/>
        </w:rPr>
      </w:pPr>
      <w:r>
        <w:rPr>
          <w:color w:val="000000"/>
          <w:szCs w:val="21"/>
        </w:rPr>
        <w:t>应用电化学是材料科学与工程专业的</w:t>
      </w:r>
      <w:r>
        <w:rPr>
          <w:bCs/>
          <w:color w:val="000000"/>
          <w:szCs w:val="21"/>
        </w:rPr>
        <w:t>一门</w:t>
      </w:r>
      <w:r>
        <w:rPr>
          <w:color w:val="000000"/>
          <w:szCs w:val="21"/>
        </w:rPr>
        <w:t>专业核心课，它是利用电化学基本原理解决科学研究和生产实际中涉及电化学应用领域内有关金属腐蚀、金属电沉积及化学电源等方面的实际问题。该课程与科学研究和生产实践有着密切联系，在化工、冶金、化学电源、金属腐蚀与保护、电化学加工以及电化学分析等工业部门中占有很重要的地位，同时在高新技术领域，如新能源、新材料、微电子技术、生物化学等方面有广泛应用。通过本课程的学习，有助于培养学生分析和解决电化学应用领域中各种实际问题的能力。</w:t>
      </w:r>
    </w:p>
    <w:p>
      <w:pPr>
        <w:numPr>
          <w:ilvl w:val="0"/>
          <w:numId w:val="1"/>
        </w:numPr>
        <w:adjustRightInd w:val="0"/>
        <w:snapToGrid w:val="0"/>
        <w:spacing w:line="390" w:lineRule="atLeast"/>
        <w:ind w:firstLine="517" w:firstLineChars="245"/>
        <w:rPr>
          <w:b/>
          <w:bCs/>
          <w:color w:val="000000"/>
        </w:rPr>
      </w:pPr>
      <w:r>
        <w:rPr>
          <w:b/>
          <w:bCs/>
          <w:color w:val="000000"/>
        </w:rPr>
        <w:t xml:space="preserve">材料表征方法（Physical </w:t>
      </w:r>
      <w:r>
        <w:rPr>
          <w:b/>
          <w:bCs/>
          <w:color w:val="000000"/>
          <w:szCs w:val="21"/>
        </w:rPr>
        <w:t>Methods for Materials Characterizations</w:t>
      </w:r>
      <w:r>
        <w:rPr>
          <w:b/>
          <w:bCs/>
          <w:color w:val="000000"/>
        </w:rPr>
        <w:t>）  3学分</w:t>
      </w:r>
    </w:p>
    <w:p>
      <w:pPr>
        <w:adjustRightInd w:val="0"/>
        <w:snapToGrid w:val="0"/>
        <w:spacing w:line="390" w:lineRule="atLeast"/>
        <w:ind w:firstLine="420" w:firstLineChars="200"/>
        <w:rPr>
          <w:color w:val="000000"/>
          <w:szCs w:val="21"/>
        </w:rPr>
      </w:pPr>
      <w:r>
        <w:rPr>
          <w:color w:val="000000"/>
          <w:szCs w:val="21"/>
        </w:rPr>
        <w:t>材料表征方法是材料科学与工程专业的</w:t>
      </w:r>
      <w:r>
        <w:rPr>
          <w:bCs/>
          <w:color w:val="000000"/>
          <w:szCs w:val="21"/>
        </w:rPr>
        <w:t>一门</w:t>
      </w:r>
      <w:r>
        <w:rPr>
          <w:color w:val="000000"/>
          <w:szCs w:val="21"/>
        </w:rPr>
        <w:t>专业核心课，本课程是关于材料结构表征的方法、原理及应用的一门学科，培养学生深入理解材料结构与性能的关系，根据材料科学与工程专业培养目标要求设置的一门重要专业课。对于学生顺利进行生产实践，正确地运用现代分析技术开展材料组成与结构的分析测试与表征， 从而具备开展材料科学研究和解决材料科学与工程领域相关问题的能力有着重要的影响。学习本课程的目的和任务：通过本课程的学习，使学生对材料的各种现代测试方法有一个较全面地了解和认识。掌握相应的基本知识、基本技能及必要的理论基础，使学生学习课程后能够做到：正确选择材料分析、测试方法；看懂或会分析一般的测试结果；可以与分析测试专业人员共同商讨有关材料分析研究实 验方案和分析较复杂的测试结果。</w:t>
      </w:r>
    </w:p>
    <w:p>
      <w:pPr>
        <w:adjustRightInd w:val="0"/>
        <w:snapToGrid w:val="0"/>
        <w:spacing w:before="156" w:beforeLines="50" w:line="324" w:lineRule="auto"/>
        <w:ind w:firstLine="482" w:firstLineChars="200"/>
        <w:rPr>
          <w:b/>
          <w:bCs/>
          <w:color w:val="000000"/>
          <w:sz w:val="24"/>
        </w:rPr>
      </w:pPr>
      <w:r>
        <w:rPr>
          <w:b/>
          <w:bCs/>
          <w:color w:val="000000"/>
          <w:sz w:val="24"/>
        </w:rPr>
        <w:t>七、主要实践性教学环节</w:t>
      </w:r>
    </w:p>
    <w:p>
      <w:pPr>
        <w:adjustRightInd w:val="0"/>
        <w:snapToGrid w:val="0"/>
        <w:spacing w:line="400" w:lineRule="exact"/>
        <w:ind w:firstLine="422" w:firstLineChars="200"/>
        <w:rPr>
          <w:b/>
          <w:color w:val="000000"/>
        </w:rPr>
      </w:pPr>
      <w:r>
        <w:rPr>
          <w:b/>
          <w:color w:val="000000"/>
        </w:rPr>
        <w:t xml:space="preserve">1. 军事技能（Military skills）  </w:t>
      </w:r>
      <w:r>
        <w:rPr>
          <w:b/>
          <w:color w:val="000000"/>
          <w:szCs w:val="21"/>
        </w:rPr>
        <w:t>2学分</w:t>
      </w:r>
    </w:p>
    <w:p>
      <w:pPr>
        <w:widowControl/>
        <w:adjustRightInd w:val="0"/>
        <w:snapToGrid w:val="0"/>
        <w:spacing w:line="390" w:lineRule="atLeast"/>
        <w:ind w:firstLine="396" w:firstLineChars="200"/>
        <w:jc w:val="left"/>
        <w:rPr>
          <w:color w:val="000000"/>
        </w:rPr>
      </w:pPr>
      <w:r>
        <w:rPr>
          <w:color w:val="000000"/>
          <w:spacing w:val="-6"/>
          <w:szCs w:val="21"/>
        </w:rPr>
        <w:t>通过军事技能训练，使学生在就学期间，履行兵役义务，接受国防教育，激发爱国热情，树立革命英雄主义精神，增强国防观念和组织性、纪律性，掌握基本的军事知识和技能，为中国人民解放军训练后备兵员和培养预备役军官打好基础。</w:t>
      </w:r>
    </w:p>
    <w:p>
      <w:pPr>
        <w:numPr>
          <w:ilvl w:val="0"/>
          <w:numId w:val="2"/>
        </w:numPr>
        <w:adjustRightInd w:val="0"/>
        <w:snapToGrid w:val="0"/>
        <w:spacing w:line="390" w:lineRule="atLeast"/>
        <w:ind w:firstLine="422" w:firstLineChars="200"/>
        <w:rPr>
          <w:b/>
          <w:color w:val="000000"/>
        </w:rPr>
      </w:pPr>
      <w:r>
        <w:rPr>
          <w:b/>
          <w:color w:val="000000"/>
        </w:rPr>
        <w:t xml:space="preserve">认识实习（Cognition Practice）  </w:t>
      </w:r>
      <w:r>
        <w:rPr>
          <w:b/>
          <w:color w:val="000000"/>
          <w:szCs w:val="21"/>
        </w:rPr>
        <w:t>1学分</w:t>
      </w:r>
    </w:p>
    <w:p>
      <w:pPr>
        <w:adjustRightInd w:val="0"/>
        <w:snapToGrid w:val="0"/>
        <w:spacing w:line="390" w:lineRule="atLeast"/>
        <w:ind w:firstLine="525" w:firstLineChars="250"/>
        <w:rPr>
          <w:color w:val="000000"/>
        </w:rPr>
      </w:pPr>
      <w:r>
        <w:rPr>
          <w:color w:val="000000"/>
          <w:szCs w:val="21"/>
        </w:rPr>
        <w:t>认识实习是材料科学与工程专业的一门重要的实践性课程，本课程的开设</w:t>
      </w:r>
      <w:r>
        <w:rPr>
          <w:color w:val="000000"/>
        </w:rPr>
        <w:t>全面地为学生提供了解专业领域生产过程、工艺及相关产品的机会。帮助学生了解材料在工业化以后实际生产的现实状况、具体环境、实际设备条件等，增强对专业的感性认识，建立初步的工程观念。本课程要求新生提交研讨报告，将理论知识和实践相结合，提高分析和解决问题的能力，为后继专业课的学习、课程设计和毕业设计打下坚实的基础。</w:t>
      </w:r>
    </w:p>
    <w:p>
      <w:pPr>
        <w:numPr>
          <w:ilvl w:val="0"/>
          <w:numId w:val="2"/>
        </w:numPr>
        <w:adjustRightInd w:val="0"/>
        <w:snapToGrid w:val="0"/>
        <w:spacing w:line="390" w:lineRule="atLeast"/>
        <w:ind w:firstLine="422" w:firstLineChars="200"/>
        <w:rPr>
          <w:b/>
          <w:color w:val="000000"/>
        </w:rPr>
      </w:pPr>
      <w:r>
        <w:rPr>
          <w:rFonts w:hint="eastAsia"/>
          <w:b/>
          <w:color w:val="000000"/>
        </w:rPr>
        <w:t>机械基础课程设计（Fundamentals of Machine Course Design） 1学分</w:t>
      </w:r>
    </w:p>
    <w:p>
      <w:pPr>
        <w:adjustRightInd w:val="0"/>
        <w:snapToGrid w:val="0"/>
        <w:spacing w:line="390" w:lineRule="atLeast"/>
        <w:ind w:firstLine="420" w:firstLineChars="200"/>
        <w:rPr>
          <w:bCs/>
          <w:color w:val="000000"/>
        </w:rPr>
      </w:pPr>
      <w:r>
        <w:rPr>
          <w:rFonts w:hint="eastAsia"/>
          <w:bCs/>
          <w:color w:val="000000"/>
        </w:rPr>
        <w:t>机械基础课程设计是材料科学与工程专业的一门重要的实践性课程，在实现学生总体培养目标中占有重要地位。本课程设计的教学目的是，通过课程设计实践，树立正确的设计思想，培养学生将理论与生产实际相结合，分析和解决机械设计问题的能力，学习机械设计的一般方法、步骤，掌握机械设计的一般规律，进行机械设计基本技能的训练，例如计算、绘图、查阅资料和手册、运用标准和规方，进行计算机辅助设计和绘图的训练。</w:t>
      </w:r>
    </w:p>
    <w:p>
      <w:pPr>
        <w:numPr>
          <w:ilvl w:val="0"/>
          <w:numId w:val="2"/>
        </w:numPr>
        <w:adjustRightInd w:val="0"/>
        <w:snapToGrid w:val="0"/>
        <w:spacing w:line="390" w:lineRule="atLeast"/>
        <w:ind w:firstLine="422" w:firstLineChars="200"/>
        <w:rPr>
          <w:b/>
          <w:color w:val="000000"/>
        </w:rPr>
      </w:pPr>
      <w:r>
        <w:rPr>
          <w:b/>
          <w:color w:val="000000"/>
        </w:rPr>
        <w:t xml:space="preserve">材料制备与合成课程设计 </w:t>
      </w:r>
      <w:r>
        <w:rPr>
          <w:rFonts w:hint="eastAsia"/>
          <w:b/>
          <w:color w:val="000000"/>
        </w:rPr>
        <w:t xml:space="preserve">（Materials Preparation and Synthesis Course Design） </w:t>
      </w:r>
      <w:r>
        <w:rPr>
          <w:b/>
          <w:color w:val="000000"/>
        </w:rPr>
        <w:t>1学分</w:t>
      </w:r>
    </w:p>
    <w:p>
      <w:pPr>
        <w:adjustRightInd w:val="0"/>
        <w:snapToGrid w:val="0"/>
        <w:spacing w:line="390" w:lineRule="atLeast"/>
        <w:ind w:firstLine="420" w:firstLineChars="200"/>
        <w:rPr>
          <w:color w:val="000000"/>
          <w:szCs w:val="21"/>
        </w:rPr>
      </w:pPr>
      <w:r>
        <w:rPr>
          <w:color w:val="000000"/>
          <w:szCs w:val="21"/>
        </w:rPr>
        <w:t>材料制备与合成课程设计是材料科学与工程专业的一门重要的实践性课程，本课程的开设要求学生在经过材料专业实验中的各项基本训练，并掌握了基本的实验知识与技能的基础上，引导学生根据性能需要，设计并制备相应的材料，培养学生查阅、综合分析文献资料、阅读专业外文资料的能力，提高学生发现问题、分析问题并设计实验解决问题的能力，注重培养学生的科研思维以及创新能力，为今后从事相关工作和开展科研打下基础。</w:t>
      </w:r>
    </w:p>
    <w:p>
      <w:pPr>
        <w:numPr>
          <w:ilvl w:val="0"/>
          <w:numId w:val="2"/>
        </w:numPr>
        <w:adjustRightInd w:val="0"/>
        <w:snapToGrid w:val="0"/>
        <w:spacing w:line="390" w:lineRule="atLeast"/>
        <w:ind w:firstLine="422" w:firstLineChars="200"/>
        <w:rPr>
          <w:b/>
          <w:color w:val="000000"/>
        </w:rPr>
      </w:pPr>
      <w:r>
        <w:rPr>
          <w:b/>
          <w:color w:val="000000"/>
        </w:rPr>
        <w:t>金工实习（Metalworking practice）  1学分</w:t>
      </w:r>
    </w:p>
    <w:p>
      <w:pPr>
        <w:adjustRightInd w:val="0"/>
        <w:snapToGrid w:val="0"/>
        <w:spacing w:line="390" w:lineRule="atLeast"/>
        <w:ind w:firstLine="420" w:firstLineChars="200"/>
        <w:rPr>
          <w:b/>
          <w:color w:val="000000"/>
        </w:rPr>
      </w:pPr>
      <w:r>
        <w:rPr>
          <w:color w:val="000000"/>
        </w:rPr>
        <w:t>金工实习是化工专业金工实践课程，目的是了解本专业所涉及到的加工、维修技术；增强学生对本行业的感性认识；熟悉本专业学习中常用的工具、设备、仪表的作用及其使用方法。</w:t>
      </w:r>
    </w:p>
    <w:p>
      <w:pPr>
        <w:numPr>
          <w:ilvl w:val="0"/>
          <w:numId w:val="3"/>
        </w:numPr>
        <w:adjustRightInd w:val="0"/>
        <w:snapToGrid w:val="0"/>
        <w:spacing w:line="390" w:lineRule="atLeast"/>
        <w:ind w:firstLine="422" w:firstLineChars="200"/>
        <w:rPr>
          <w:b/>
          <w:color w:val="000000"/>
        </w:rPr>
      </w:pPr>
      <w:r>
        <w:rPr>
          <w:b/>
          <w:color w:val="000000"/>
        </w:rPr>
        <w:t>材料物理性能与测试技术课程设计</w:t>
      </w:r>
      <w:r>
        <w:rPr>
          <w:rFonts w:hint="eastAsia"/>
          <w:b/>
          <w:color w:val="000000"/>
        </w:rPr>
        <w:t xml:space="preserve"> （Materials Physical Properties and Measurement Course Design）</w:t>
      </w:r>
      <w:r>
        <w:rPr>
          <w:b/>
          <w:color w:val="000000"/>
        </w:rPr>
        <w:t xml:space="preserve"> 1学分</w:t>
      </w:r>
    </w:p>
    <w:p>
      <w:pPr>
        <w:shd w:val="clear" w:color="auto" w:fill="FFFFFF"/>
        <w:adjustRightInd w:val="0"/>
        <w:snapToGrid w:val="0"/>
        <w:spacing w:line="390" w:lineRule="atLeast"/>
        <w:ind w:firstLine="420" w:firstLineChars="200"/>
        <w:rPr>
          <w:b/>
          <w:color w:val="000000"/>
        </w:rPr>
      </w:pPr>
      <w:r>
        <w:rPr>
          <w:color w:val="000000"/>
          <w:szCs w:val="21"/>
        </w:rPr>
        <w:t>材料物理性能与测试技术课程设计是材料科学与工程专业的一门重要的实践性课程，本课程的开设可以使学生学会对材料物理性能的分析和测试方法，深入了解材料物理性能测试原理、方法及相关仪器设备，培养学生使用测试技术对材料性能进行的剖析的能力，注重培养学生的专业技能和和实践能力，为研发先进功能材料打下坚实的基础。</w:t>
      </w:r>
    </w:p>
    <w:p>
      <w:pPr>
        <w:numPr>
          <w:ilvl w:val="0"/>
          <w:numId w:val="3"/>
        </w:numPr>
        <w:adjustRightInd w:val="0"/>
        <w:snapToGrid w:val="0"/>
        <w:spacing w:line="390" w:lineRule="atLeast"/>
        <w:ind w:firstLine="422" w:firstLineChars="200"/>
        <w:rPr>
          <w:b/>
          <w:color w:val="000000"/>
        </w:rPr>
      </w:pPr>
      <w:r>
        <w:rPr>
          <w:b/>
          <w:color w:val="000000"/>
        </w:rPr>
        <w:t>综合创新训练（Comprehensive Innovation Training）  2学分</w:t>
      </w:r>
    </w:p>
    <w:p>
      <w:pPr>
        <w:adjustRightInd w:val="0"/>
        <w:snapToGrid w:val="0"/>
        <w:spacing w:line="390" w:lineRule="atLeast"/>
        <w:ind w:firstLine="420" w:firstLineChars="200"/>
        <w:rPr>
          <w:color w:val="000000"/>
        </w:rPr>
      </w:pPr>
      <w:r>
        <w:rPr>
          <w:color w:val="000000"/>
        </w:rPr>
        <w:t>综合创新训练是</w:t>
      </w:r>
      <w:r>
        <w:rPr>
          <w:rFonts w:hint="eastAsia"/>
          <w:color w:val="000000"/>
        </w:rPr>
        <w:t>材料科学与工程</w:t>
      </w:r>
      <w:r>
        <w:rPr>
          <w:color w:val="000000"/>
        </w:rPr>
        <w:t>专业开设的一门实践课程，本课程以指定题目、自主设计、自主操作、自主探究的方式进行，是巩固和补充理论知识的必要环节。通过本课程的学习，使学生受到一次较全面、严格、系统的科研训练，了解科学研究的一般方法，体验科学研究的艰苦性和长期性，真正养成热爱科学的情感。此外，研究型实验可以提高学生的创新意识、创新精神和创新能力。</w:t>
      </w:r>
    </w:p>
    <w:p>
      <w:pPr>
        <w:numPr>
          <w:ilvl w:val="0"/>
          <w:numId w:val="3"/>
        </w:numPr>
        <w:adjustRightInd w:val="0"/>
        <w:snapToGrid w:val="0"/>
        <w:spacing w:line="390" w:lineRule="atLeast"/>
        <w:ind w:firstLine="422" w:firstLineChars="200"/>
        <w:rPr>
          <w:b/>
          <w:color w:val="000000"/>
        </w:rPr>
      </w:pPr>
      <w:r>
        <w:rPr>
          <w:b/>
          <w:color w:val="000000"/>
        </w:rPr>
        <w:t xml:space="preserve">毕业实习（Production Practice）  </w:t>
      </w:r>
      <w:r>
        <w:rPr>
          <w:rFonts w:hint="eastAsia"/>
          <w:b/>
          <w:color w:val="000000"/>
          <w:szCs w:val="21"/>
        </w:rPr>
        <w:t>4</w:t>
      </w:r>
      <w:r>
        <w:rPr>
          <w:b/>
          <w:color w:val="000000"/>
          <w:szCs w:val="21"/>
        </w:rPr>
        <w:t>学分</w:t>
      </w:r>
    </w:p>
    <w:p>
      <w:pPr>
        <w:adjustRightInd w:val="0"/>
        <w:snapToGrid w:val="0"/>
        <w:spacing w:line="390" w:lineRule="atLeast"/>
        <w:ind w:firstLine="525" w:firstLineChars="250"/>
        <w:rPr>
          <w:color w:val="000000"/>
        </w:rPr>
      </w:pPr>
      <w:r>
        <w:rPr>
          <w:color w:val="000000"/>
          <w:szCs w:val="21"/>
        </w:rPr>
        <w:t>毕业实习是材料科学与工程专业的一门重要的实践性课程，本课程的开设</w:t>
      </w:r>
      <w:r>
        <w:rPr>
          <w:color w:val="000000"/>
        </w:rPr>
        <w:t>可以使学生深入了解材料行业生产概况，熟悉产品的生产工艺流程及相关单元操作，加深对基础知识的理解，并运用所学知识观察和分析实际问题，有助于开阔学生的视野，增强对专业的感性认识，并获得一定的工程训练，为今后的走向工作岗位奠定基础。</w:t>
      </w:r>
    </w:p>
    <w:p>
      <w:pPr>
        <w:numPr>
          <w:ilvl w:val="0"/>
          <w:numId w:val="3"/>
        </w:numPr>
        <w:adjustRightInd w:val="0"/>
        <w:snapToGrid w:val="0"/>
        <w:spacing w:line="390" w:lineRule="atLeast"/>
        <w:ind w:firstLine="422" w:firstLineChars="200"/>
        <w:rPr>
          <w:b/>
          <w:color w:val="000000"/>
        </w:rPr>
      </w:pPr>
      <w:r>
        <w:rPr>
          <w:b/>
          <w:color w:val="000000"/>
        </w:rPr>
        <w:t>毕业设计（论文）（</w:t>
      </w:r>
      <w:r>
        <w:rPr>
          <w:b/>
          <w:bCs/>
          <w:color w:val="000000"/>
        </w:rPr>
        <w:t>Graduation Design (Thesis)</w:t>
      </w:r>
      <w:r>
        <w:rPr>
          <w:b/>
          <w:color w:val="000000"/>
        </w:rPr>
        <w:t>）  1</w:t>
      </w:r>
      <w:r>
        <w:rPr>
          <w:b/>
          <w:color w:val="000000"/>
          <w:szCs w:val="21"/>
        </w:rPr>
        <w:t>2学分</w:t>
      </w:r>
    </w:p>
    <w:p>
      <w:pPr>
        <w:adjustRightInd w:val="0"/>
        <w:snapToGrid w:val="0"/>
        <w:spacing w:line="390" w:lineRule="atLeast"/>
        <w:ind w:firstLine="420" w:firstLineChars="200"/>
        <w:rPr>
          <w:color w:val="000000"/>
          <w:szCs w:val="21"/>
        </w:rPr>
      </w:pPr>
      <w:r>
        <w:rPr>
          <w:color w:val="000000"/>
          <w:szCs w:val="21"/>
        </w:rPr>
        <w:t>毕业设计（论文）是材料科学与工程专业的一门重要的实践性课程，是学生在教师的指导下通过集中实践而独立进行科学实验研究的初步尝试，</w:t>
      </w:r>
      <w:r>
        <w:rPr>
          <w:color w:val="000000"/>
        </w:rPr>
        <w:t>是学生培养过程中最后一个综合性实践环节。本课程是对学生学习期间所获得知识综合考察，是理论与实践相结合的具体应用，其</w:t>
      </w:r>
      <w:r>
        <w:rPr>
          <w:color w:val="000000"/>
          <w:szCs w:val="21"/>
        </w:rPr>
        <w:t>目的在于引导学生综合运用所学的基本理论、实验技能，分析和解决实际应用问题。</w:t>
      </w:r>
    </w:p>
    <w:p>
      <w:pPr>
        <w:numPr>
          <w:ilvl w:val="0"/>
          <w:numId w:val="4"/>
        </w:numPr>
        <w:adjustRightInd w:val="0"/>
        <w:snapToGrid w:val="0"/>
        <w:spacing w:before="156" w:beforeLines="50" w:line="324" w:lineRule="auto"/>
        <w:ind w:firstLine="482" w:firstLineChars="200"/>
        <w:rPr>
          <w:b/>
          <w:bCs/>
          <w:color w:val="000000"/>
          <w:sz w:val="24"/>
        </w:rPr>
      </w:pPr>
      <w:r>
        <w:rPr>
          <w:b/>
          <w:bCs/>
          <w:color w:val="000000"/>
          <w:sz w:val="24"/>
        </w:rPr>
        <w:t>课程设置一览表</w:t>
      </w:r>
    </w:p>
    <w:tbl>
      <w:tblPr>
        <w:tblStyle w:val="20"/>
        <w:tblW w:w="9816" w:type="dxa"/>
        <w:jc w:val="center"/>
        <w:tblLayout w:type="fixed"/>
        <w:tblCellMar>
          <w:top w:w="0" w:type="dxa"/>
          <w:left w:w="0" w:type="dxa"/>
          <w:bottom w:w="0" w:type="dxa"/>
          <w:right w:w="0" w:type="dxa"/>
        </w:tblCellMar>
      </w:tblPr>
      <w:tblGrid>
        <w:gridCol w:w="426"/>
        <w:gridCol w:w="426"/>
        <w:gridCol w:w="1134"/>
        <w:gridCol w:w="3658"/>
        <w:gridCol w:w="627"/>
        <w:gridCol w:w="627"/>
        <w:gridCol w:w="532"/>
        <w:gridCol w:w="668"/>
        <w:gridCol w:w="873"/>
        <w:gridCol w:w="845"/>
      </w:tblGrid>
      <w:tr>
        <w:tblPrEx>
          <w:tblCellMar>
            <w:top w:w="0" w:type="dxa"/>
            <w:left w:w="0" w:type="dxa"/>
            <w:bottom w:w="0" w:type="dxa"/>
            <w:right w:w="0" w:type="dxa"/>
          </w:tblCellMar>
        </w:tblPrEx>
        <w:trPr>
          <w:trHeight w:val="285" w:hRule="atLeast"/>
          <w:jc w:val="center"/>
        </w:trPr>
        <w:tc>
          <w:tcPr>
            <w:tcW w:w="852"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课程</w:t>
            </w:r>
            <w:r>
              <w:rPr>
                <w:rStyle w:val="50"/>
                <w:lang w:bidi="ar"/>
              </w:rPr>
              <w:t xml:space="preserve">               </w:t>
            </w:r>
            <w:r>
              <w:rPr>
                <w:rFonts w:hint="eastAsia" w:ascii="宋体" w:hAnsi="宋体" w:cs="宋体"/>
                <w:b/>
                <w:color w:val="000000"/>
                <w:kern w:val="0"/>
                <w:szCs w:val="21"/>
                <w:lang w:bidi="ar"/>
              </w:rPr>
              <w:t>类别</w:t>
            </w:r>
          </w:p>
        </w:tc>
        <w:tc>
          <w:tcPr>
            <w:tcW w:w="11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b/>
                <w:color w:val="000000"/>
                <w:szCs w:val="21"/>
              </w:rPr>
            </w:pPr>
            <w:r>
              <w:rPr>
                <w:rFonts w:hint="eastAsia" w:ascii="宋体" w:hAnsi="宋体" w:cs="宋体"/>
                <w:b/>
                <w:color w:val="000000"/>
                <w:kern w:val="0"/>
                <w:szCs w:val="21"/>
                <w:lang w:bidi="ar"/>
              </w:rPr>
              <w:t>课程编号</w:t>
            </w:r>
          </w:p>
        </w:tc>
        <w:tc>
          <w:tcPr>
            <w:tcW w:w="365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b/>
                <w:color w:val="000000"/>
                <w:szCs w:val="21"/>
              </w:rPr>
            </w:pPr>
            <w:r>
              <w:rPr>
                <w:rFonts w:hint="eastAsia" w:ascii="宋体" w:hAnsi="宋体" w:cs="宋体"/>
                <w:b/>
                <w:color w:val="000000"/>
                <w:kern w:val="0"/>
                <w:szCs w:val="21"/>
                <w:lang w:bidi="ar"/>
              </w:rPr>
              <w:t>课程名称</w:t>
            </w:r>
          </w:p>
        </w:tc>
        <w:tc>
          <w:tcPr>
            <w:tcW w:w="62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b/>
                <w:color w:val="000000"/>
                <w:szCs w:val="21"/>
              </w:rPr>
            </w:pPr>
            <w:r>
              <w:rPr>
                <w:rFonts w:hint="eastAsia" w:ascii="宋体" w:hAnsi="宋体" w:cs="宋体"/>
                <w:b/>
                <w:color w:val="000000"/>
                <w:kern w:val="0"/>
                <w:szCs w:val="21"/>
                <w:lang w:bidi="ar"/>
              </w:rPr>
              <w:t>学分</w:t>
            </w:r>
          </w:p>
        </w:tc>
        <w:tc>
          <w:tcPr>
            <w:tcW w:w="1159"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学分分配</w:t>
            </w:r>
          </w:p>
        </w:tc>
        <w:tc>
          <w:tcPr>
            <w:tcW w:w="66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b/>
                <w:color w:val="000000"/>
                <w:szCs w:val="21"/>
              </w:rPr>
            </w:pPr>
            <w:r>
              <w:rPr>
                <w:rFonts w:hint="eastAsia" w:ascii="宋体" w:hAnsi="宋体" w:cs="宋体"/>
                <w:b/>
                <w:color w:val="000000"/>
                <w:kern w:val="0"/>
                <w:szCs w:val="21"/>
                <w:lang w:bidi="ar"/>
              </w:rPr>
              <w:t>考核</w:t>
            </w:r>
            <w:r>
              <w:rPr>
                <w:rStyle w:val="36"/>
                <w:rFonts w:hint="default"/>
                <w:lang w:bidi="ar"/>
              </w:rPr>
              <w:t xml:space="preserve">   </w:t>
            </w:r>
            <w:r>
              <w:rPr>
                <w:rFonts w:hint="eastAsia" w:ascii="宋体" w:hAnsi="宋体" w:cs="宋体"/>
                <w:b/>
                <w:color w:val="000000"/>
                <w:kern w:val="0"/>
                <w:szCs w:val="21"/>
                <w:lang w:bidi="ar"/>
              </w:rPr>
              <w:t>形式</w:t>
            </w:r>
          </w:p>
        </w:tc>
        <w:tc>
          <w:tcPr>
            <w:tcW w:w="87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b/>
                <w:color w:val="000000"/>
                <w:szCs w:val="21"/>
              </w:rPr>
            </w:pPr>
            <w:r>
              <w:rPr>
                <w:rFonts w:hint="eastAsia" w:ascii="宋体" w:hAnsi="宋体" w:cs="宋体"/>
                <w:b/>
                <w:color w:val="000000"/>
                <w:kern w:val="0"/>
                <w:szCs w:val="21"/>
                <w:lang w:bidi="ar"/>
              </w:rPr>
              <w:t>课内周</w:t>
            </w:r>
            <w:r>
              <w:rPr>
                <w:rStyle w:val="50"/>
                <w:lang w:bidi="ar"/>
              </w:rPr>
              <w:t xml:space="preserve">  </w:t>
            </w:r>
            <w:r>
              <w:rPr>
                <w:rStyle w:val="31"/>
                <w:rFonts w:hint="default"/>
                <w:lang w:bidi="ar"/>
              </w:rPr>
              <w:t>学时数</w:t>
            </w:r>
          </w:p>
        </w:tc>
        <w:tc>
          <w:tcPr>
            <w:tcW w:w="84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b/>
                <w:color w:val="000000"/>
                <w:sz w:val="24"/>
              </w:rPr>
            </w:pPr>
            <w:r>
              <w:rPr>
                <w:rStyle w:val="47"/>
                <w:rFonts w:hint="default"/>
                <w:lang w:bidi="ar"/>
              </w:rPr>
              <w:t>修读</w:t>
            </w:r>
            <w:r>
              <w:rPr>
                <w:rStyle w:val="30"/>
                <w:lang w:bidi="ar"/>
              </w:rPr>
              <w:t xml:space="preserve">   </w:t>
            </w:r>
            <w:r>
              <w:rPr>
                <w:rStyle w:val="47"/>
                <w:rFonts w:hint="default"/>
                <w:lang w:bidi="ar"/>
              </w:rPr>
              <w:t>学期</w:t>
            </w:r>
          </w:p>
        </w:tc>
      </w:tr>
      <w:tr>
        <w:tblPrEx>
          <w:tblCellMar>
            <w:top w:w="0" w:type="dxa"/>
            <w:left w:w="0" w:type="dxa"/>
            <w:bottom w:w="0" w:type="dxa"/>
            <w:right w:w="0" w:type="dxa"/>
          </w:tblCellMar>
        </w:tblPrEx>
        <w:trPr>
          <w:trHeight w:val="285" w:hRule="atLeast"/>
          <w:jc w:val="center"/>
        </w:trPr>
        <w:tc>
          <w:tcPr>
            <w:tcW w:w="85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b/>
                <w:color w:val="000000"/>
                <w:szCs w:val="21"/>
              </w:rPr>
            </w:pPr>
          </w:p>
        </w:tc>
        <w:tc>
          <w:tcPr>
            <w:tcW w:w="11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宋体" w:hAnsi="宋体" w:cs="宋体"/>
                <w:b/>
                <w:color w:val="000000"/>
                <w:szCs w:val="21"/>
              </w:rPr>
            </w:pPr>
          </w:p>
        </w:tc>
        <w:tc>
          <w:tcPr>
            <w:tcW w:w="365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宋体" w:hAnsi="宋体" w:cs="宋体"/>
                <w:b/>
                <w:color w:val="000000"/>
                <w:szCs w:val="21"/>
              </w:rPr>
            </w:pPr>
          </w:p>
        </w:tc>
        <w:tc>
          <w:tcPr>
            <w:tcW w:w="62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宋体" w:hAnsi="宋体" w:cs="宋体"/>
                <w:b/>
                <w:color w:val="000000"/>
                <w:szCs w:val="21"/>
              </w:rPr>
            </w:pP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b/>
                <w:color w:val="000000"/>
                <w:szCs w:val="21"/>
              </w:rPr>
            </w:pPr>
            <w:r>
              <w:rPr>
                <w:rFonts w:hint="eastAsia" w:ascii="宋体" w:hAnsi="宋体" w:cs="宋体"/>
                <w:b/>
                <w:color w:val="000000"/>
                <w:kern w:val="0"/>
                <w:szCs w:val="21"/>
                <w:lang w:bidi="ar"/>
              </w:rPr>
              <w:t>理论</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b/>
                <w:color w:val="000000"/>
                <w:szCs w:val="21"/>
              </w:rPr>
            </w:pPr>
            <w:r>
              <w:rPr>
                <w:rFonts w:hint="eastAsia" w:ascii="宋体" w:hAnsi="宋体" w:cs="宋体"/>
                <w:b/>
                <w:color w:val="000000"/>
                <w:kern w:val="0"/>
                <w:szCs w:val="21"/>
                <w:lang w:bidi="ar"/>
              </w:rPr>
              <w:t>实践</w:t>
            </w:r>
          </w:p>
        </w:tc>
        <w:tc>
          <w:tcPr>
            <w:tcW w:w="6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宋体" w:hAnsi="宋体" w:cs="宋体"/>
                <w:b/>
                <w:color w:val="000000"/>
                <w:szCs w:val="21"/>
              </w:rPr>
            </w:pPr>
          </w:p>
        </w:tc>
        <w:tc>
          <w:tcPr>
            <w:tcW w:w="8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宋体" w:hAnsi="宋体" w:cs="宋体"/>
                <w:b/>
                <w:color w:val="000000"/>
                <w:szCs w:val="21"/>
              </w:rPr>
            </w:pPr>
          </w:p>
        </w:tc>
        <w:tc>
          <w:tcPr>
            <w:tcW w:w="84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b/>
                <w:color w:val="000000"/>
                <w:sz w:val="24"/>
              </w:rPr>
            </w:pPr>
          </w:p>
        </w:tc>
      </w:tr>
      <w:tr>
        <w:tblPrEx>
          <w:tblCellMar>
            <w:top w:w="0" w:type="dxa"/>
            <w:left w:w="0" w:type="dxa"/>
            <w:bottom w:w="0" w:type="dxa"/>
            <w:right w:w="0" w:type="dxa"/>
          </w:tblCellMar>
        </w:tblPrEx>
        <w:trPr>
          <w:trHeight w:val="342" w:hRule="atLeast"/>
          <w:jc w:val="center"/>
        </w:trPr>
        <w:tc>
          <w:tcPr>
            <w:tcW w:w="4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通识教育平台</w:t>
            </w:r>
          </w:p>
        </w:tc>
        <w:tc>
          <w:tcPr>
            <w:tcW w:w="4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通识必修课</w:t>
            </w: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马克思主义基本原理概论</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1905G0004</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信息技术及</w:t>
            </w:r>
            <w:r>
              <w:rPr>
                <w:rStyle w:val="39"/>
                <w:rFonts w:hint="default"/>
                <w:lang w:bidi="ar"/>
              </w:rPr>
              <w:t>Java</w:t>
            </w:r>
            <w:r>
              <w:rPr>
                <w:rFonts w:hint="eastAsia" w:ascii="宋体" w:hAnsi="宋体" w:cs="宋体"/>
                <w:color w:val="000000"/>
                <w:kern w:val="0"/>
                <w:sz w:val="18"/>
                <w:szCs w:val="18"/>
                <w:lang w:bidi="ar"/>
              </w:rPr>
              <w:t>程序设计</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3.5</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军事理论</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1901G0004</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大学生心理健康教育</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大学英语A(Ⅰ)</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大学体育(Ⅰ)</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1901G0003</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大学生职业规划教育</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hint="eastAsia" w:ascii="Times New Roman" w:hAnsi="Times New Roman"/>
                <w:color w:val="000000"/>
                <w:sz w:val="18"/>
                <w:szCs w:val="18"/>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1918G0002</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思想道德修养与法律基础</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42"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1913G0001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工程伦理</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1910G0002</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应用文写作与创意写作</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1903G0002</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大学英语A(Ⅱ)</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1902G0002</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大学体育(Ⅱ)</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1918G0003</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中国近现代史纲要</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1902G0003</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大学体育(Ⅲ)</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1903G0003</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大学英语A(Ⅲ)</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1911G0001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音乐素养</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1918G0004</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毛泽东思想和中国特色社会主义理论体系概论</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1901G0002</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大学生创新创业素质教育</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1903G0004</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大学英语A(Ⅳ)</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1902G0004</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大学体育(Ⅳ)</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1901G0005</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大学生就业指导教育</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hint="eastAsia" w:ascii="Times New Roman" w:hAnsi="Times New Roman"/>
                <w:color w:val="000000"/>
                <w:sz w:val="18"/>
                <w:szCs w:val="18"/>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1902G0005</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大学体育(Ⅴ)</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Style w:val="39"/>
                <w:rFonts w:hint="default" w:ascii="Times New Roman" w:hAnsi="Times New Roman" w:cs="Times New Roman"/>
                <w:lang w:bidi="ar"/>
              </w:rPr>
              <w:t>、</w:t>
            </w:r>
            <w:r>
              <w:rPr>
                <w:rStyle w:val="44"/>
                <w:lang w:bidi="ar"/>
              </w:rPr>
              <w:t>6</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1918G0005</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形势与政策</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5218"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通识必修课小计</w:t>
            </w:r>
          </w:p>
        </w:tc>
        <w:tc>
          <w:tcPr>
            <w:tcW w:w="62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45.5</w:t>
            </w:r>
          </w:p>
        </w:tc>
        <w:tc>
          <w:tcPr>
            <w:tcW w:w="62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37</w:t>
            </w:r>
          </w:p>
        </w:tc>
        <w:tc>
          <w:tcPr>
            <w:tcW w:w="532"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8.5</w:t>
            </w:r>
          </w:p>
        </w:tc>
        <w:tc>
          <w:tcPr>
            <w:tcW w:w="668"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adjustRightInd w:val="0"/>
              <w:snapToGrid w:val="0"/>
              <w:rPr>
                <w:rFonts w:ascii="Times New Roman" w:hAnsi="Times New Roman"/>
                <w:color w:val="000000"/>
                <w:szCs w:val="21"/>
              </w:rPr>
            </w:pPr>
          </w:p>
        </w:tc>
        <w:tc>
          <w:tcPr>
            <w:tcW w:w="873"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adjustRightInd w:val="0"/>
              <w:snapToGrid w:val="0"/>
              <w:rPr>
                <w:rFonts w:ascii="Times New Roman" w:hAnsi="Times New Roman"/>
                <w:color w:val="000000"/>
                <w:szCs w:val="21"/>
              </w:rPr>
            </w:pPr>
          </w:p>
        </w:tc>
        <w:tc>
          <w:tcPr>
            <w:tcW w:w="84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adjustRightInd w:val="0"/>
              <w:snapToGrid w:val="0"/>
              <w:rPr>
                <w:rFonts w:ascii="Times New Roman" w:hAnsi="Times New Roman"/>
                <w:color w:val="000000"/>
                <w:szCs w:val="21"/>
              </w:rPr>
            </w:pPr>
          </w:p>
        </w:tc>
      </w:tr>
      <w:tr>
        <w:tblPrEx>
          <w:tblCellMar>
            <w:top w:w="0" w:type="dxa"/>
            <w:left w:w="0" w:type="dxa"/>
            <w:bottom w:w="0" w:type="dxa"/>
            <w:right w:w="0" w:type="dxa"/>
          </w:tblCellMar>
        </w:tblPrEx>
        <w:trPr>
          <w:trHeight w:val="90"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通识选修课</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24"/>
              </w:rPr>
            </w:pP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通识选修课程</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center"/>
              <w:rPr>
                <w:rFonts w:ascii="Times New Roman" w:hAnsi="Times New Roman"/>
                <w:color w:val="000000"/>
                <w:kern w:val="0"/>
                <w:sz w:val="18"/>
                <w:szCs w:val="18"/>
                <w:lang w:bidi="ar"/>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hint="eastAsia" w:ascii="Times New Roman" w:hAnsi="Times New Roman"/>
                <w:color w:val="000000"/>
                <w:kern w:val="0"/>
                <w:sz w:val="18"/>
                <w:szCs w:val="18"/>
                <w:lang w:val="en-US" w:eastAsia="zh-CN" w:bidi="ar"/>
              </w:rPr>
            </w:pPr>
            <w:r>
              <w:rPr>
                <w:rFonts w:hint="eastAsia" w:ascii="Times New Roman" w:hAnsi="Times New Roman"/>
                <w:color w:val="000000"/>
                <w:kern w:val="0"/>
                <w:sz w:val="18"/>
                <w:szCs w:val="18"/>
                <w:lang w:val="en-US" w:eastAsia="zh-CN"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rFonts w:ascii="Times New Roman" w:hAnsi="Times New Roman"/>
                <w:color w:val="FF0000"/>
                <w:szCs w:val="21"/>
                <w:highlight w:val="yellow"/>
              </w:rPr>
            </w:pP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both"/>
              <w:rPr>
                <w:rFonts w:ascii="Times New Roman" w:hAnsi="Times New Roman"/>
                <w:color w:val="FF0000"/>
                <w:szCs w:val="21"/>
                <w:highlight w:val="yellow"/>
              </w:rPr>
            </w:pPr>
          </w:p>
        </w:tc>
      </w:tr>
      <w:tr>
        <w:tblPrEx>
          <w:tblCellMar>
            <w:top w:w="0" w:type="dxa"/>
            <w:left w:w="0" w:type="dxa"/>
            <w:bottom w:w="0" w:type="dxa"/>
            <w:right w:w="0" w:type="dxa"/>
          </w:tblCellMar>
        </w:tblPrEx>
        <w:trPr>
          <w:trHeight w:val="367"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24"/>
              </w:rPr>
            </w:pP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rPr>
                <w:color w:val="000000"/>
                <w:sz w:val="24"/>
              </w:rPr>
            </w:pP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rPr>
                <w:color w:val="000000"/>
                <w:sz w:val="24"/>
              </w:rPr>
            </w:pP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rFonts w:ascii="宋体" w:hAnsi="宋体" w:cs="宋体"/>
                <w:color w:val="000000"/>
                <w:szCs w:val="21"/>
              </w:rPr>
            </w:pP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r>
      <w:tr>
        <w:tblPrEx>
          <w:tblCellMar>
            <w:top w:w="0" w:type="dxa"/>
            <w:left w:w="0" w:type="dxa"/>
            <w:bottom w:w="0" w:type="dxa"/>
            <w:right w:w="0" w:type="dxa"/>
          </w:tblCellMar>
        </w:tblPrEx>
        <w:trPr>
          <w:trHeight w:val="367"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24"/>
              </w:rPr>
            </w:pP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rPr>
                <w:color w:val="000000"/>
                <w:sz w:val="24"/>
              </w:rPr>
            </w:pP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rPr>
                <w:color w:val="000000"/>
                <w:sz w:val="24"/>
              </w:rPr>
            </w:pP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rFonts w:ascii="宋体" w:hAnsi="宋体" w:cs="宋体"/>
                <w:color w:val="000000"/>
                <w:szCs w:val="21"/>
              </w:rPr>
            </w:pP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Cs w:val="21"/>
              </w:rPr>
            </w:pP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5218"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通识选修课小计</w:t>
            </w:r>
          </w:p>
        </w:tc>
        <w:tc>
          <w:tcPr>
            <w:tcW w:w="62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62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532"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adjustRightInd w:val="0"/>
              <w:snapToGrid w:val="0"/>
              <w:jc w:val="center"/>
              <w:rPr>
                <w:rFonts w:ascii="Times New Roman" w:hAnsi="Times New Roman"/>
                <w:color w:val="000000"/>
                <w:szCs w:val="21"/>
              </w:rPr>
            </w:pP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此模块至少选修8学分</w:t>
            </w:r>
          </w:p>
        </w:tc>
      </w:tr>
      <w:tr>
        <w:tblPrEx>
          <w:tblCellMar>
            <w:top w:w="0" w:type="dxa"/>
            <w:left w:w="0" w:type="dxa"/>
            <w:bottom w:w="0" w:type="dxa"/>
            <w:right w:w="0" w:type="dxa"/>
          </w:tblCellMar>
        </w:tblPrEx>
        <w:trPr>
          <w:trHeight w:val="315" w:hRule="atLeast"/>
          <w:jc w:val="center"/>
        </w:trPr>
        <w:tc>
          <w:tcPr>
            <w:tcW w:w="5644" w:type="dxa"/>
            <w:gridSpan w:val="4"/>
            <w:tcBorders>
              <w:top w:val="single" w:color="000000"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通识课程平台合计</w:t>
            </w:r>
          </w:p>
        </w:tc>
        <w:tc>
          <w:tcPr>
            <w:tcW w:w="627"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53.5</w:t>
            </w:r>
          </w:p>
        </w:tc>
        <w:tc>
          <w:tcPr>
            <w:tcW w:w="627"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45</w:t>
            </w:r>
          </w:p>
        </w:tc>
        <w:tc>
          <w:tcPr>
            <w:tcW w:w="532"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8.5</w:t>
            </w:r>
          </w:p>
        </w:tc>
        <w:tc>
          <w:tcPr>
            <w:tcW w:w="668"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adjustRightInd w:val="0"/>
              <w:snapToGrid w:val="0"/>
              <w:rPr>
                <w:rFonts w:ascii="宋体" w:hAnsi="宋体" w:cs="宋体"/>
                <w:color w:val="000000"/>
                <w:szCs w:val="21"/>
              </w:rPr>
            </w:pPr>
          </w:p>
        </w:tc>
        <w:tc>
          <w:tcPr>
            <w:tcW w:w="873"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adjustRightInd w:val="0"/>
              <w:snapToGrid w:val="0"/>
              <w:rPr>
                <w:color w:val="000000"/>
                <w:szCs w:val="21"/>
              </w:rPr>
            </w:pPr>
          </w:p>
        </w:tc>
        <w:tc>
          <w:tcPr>
            <w:tcW w:w="84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adjustRightInd w:val="0"/>
              <w:snapToGrid w:val="0"/>
              <w:rPr>
                <w:color w:val="000000"/>
                <w:szCs w:val="21"/>
              </w:rPr>
            </w:pPr>
          </w:p>
        </w:tc>
      </w:tr>
      <w:tr>
        <w:tblPrEx>
          <w:tblCellMar>
            <w:top w:w="0" w:type="dxa"/>
            <w:left w:w="0" w:type="dxa"/>
            <w:bottom w:w="0" w:type="dxa"/>
            <w:right w:w="0" w:type="dxa"/>
          </w:tblCellMar>
        </w:tblPrEx>
        <w:trPr>
          <w:trHeight w:val="285" w:hRule="atLeast"/>
          <w:jc w:val="center"/>
        </w:trPr>
        <w:tc>
          <w:tcPr>
            <w:tcW w:w="42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专业教育平台</w:t>
            </w:r>
          </w:p>
        </w:tc>
        <w:tc>
          <w:tcPr>
            <w:tcW w:w="426" w:type="dxa"/>
            <w:vMerge w:val="restart"/>
            <w:tcBorders>
              <w:top w:val="single" w:color="000000" w:sz="4" w:space="0"/>
              <w:left w:val="single" w:color="000000" w:sz="4" w:space="0"/>
              <w:bottom w:val="nil"/>
              <w:right w:val="single" w:color="000000" w:sz="4" w:space="0"/>
            </w:tcBorders>
            <w:noWrap/>
            <w:tcMar>
              <w:top w:w="15" w:type="dxa"/>
              <w:left w:w="15" w:type="dxa"/>
              <w:right w:w="15" w:type="dxa"/>
            </w:tcMar>
            <w:textDirection w:val="tbRlV"/>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学科基础课</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1904B0001</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高等数学</w:t>
            </w:r>
            <w:r>
              <w:rPr>
                <w:rStyle w:val="39"/>
                <w:rFonts w:hint="default"/>
                <w:lang w:bidi="ar"/>
              </w:rPr>
              <w:t>A(Ⅰ)</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5</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5</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1913B0001</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无机及分析化学</w:t>
            </w:r>
            <w:r>
              <w:rPr>
                <w:rStyle w:val="39"/>
                <w:rFonts w:hint="default"/>
                <w:lang w:bidi="ar"/>
              </w:rPr>
              <w:t>(Ⅰ)</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1904B0002</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高等数学</w:t>
            </w:r>
            <w:r>
              <w:rPr>
                <w:rStyle w:val="39"/>
                <w:rFonts w:hint="default"/>
                <w:lang w:bidi="ar"/>
              </w:rPr>
              <w:t>A(Ⅱ)</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5</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5</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1904B0014</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w:t>
            </w:r>
            <w:r>
              <w:rPr>
                <w:rStyle w:val="39"/>
                <w:rFonts w:hint="default"/>
                <w:lang w:bidi="ar"/>
              </w:rPr>
              <w:t>B(Ⅰ)</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1906B0012</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工程制图</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1913B0002</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无机及分析化学(Ⅱ</w:t>
            </w:r>
            <w:r>
              <w:rPr>
                <w:rStyle w:val="39"/>
                <w:rFonts w:hint="default"/>
                <w:lang w:bidi="ar"/>
              </w:rPr>
              <w:t>)</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1913B0003</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w:t>
            </w:r>
            <w:r>
              <w:rPr>
                <w:rStyle w:val="39"/>
                <w:rFonts w:hint="default"/>
                <w:lang w:bidi="ar"/>
              </w:rPr>
              <w:t>(Ⅰ)</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1904B0011</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线性代数与概率统计</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1904B0015</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w:t>
            </w:r>
            <w:r>
              <w:rPr>
                <w:rStyle w:val="39"/>
                <w:rFonts w:hint="default"/>
                <w:lang w:bidi="ar"/>
              </w:rPr>
              <w:t>B(Ⅱ)</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1904B0018</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大学物理实验</w:t>
            </w:r>
            <w:r>
              <w:rPr>
                <w:rStyle w:val="39"/>
                <w:rFonts w:hint="default"/>
                <w:lang w:bidi="ar"/>
              </w:rPr>
              <w:t>B</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4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1913B0004</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w:t>
            </w:r>
            <w:r>
              <w:rPr>
                <w:rStyle w:val="39"/>
                <w:rFonts w:hint="default"/>
                <w:lang w:bidi="ar"/>
              </w:rPr>
              <w:t>Ⅱ)</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60"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1913B0005</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w:t>
            </w:r>
            <w:r>
              <w:rPr>
                <w:rStyle w:val="39"/>
                <w:rFonts w:hint="default"/>
                <w:lang w:bidi="ar"/>
              </w:rPr>
              <w:t>(Ⅰ)</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60"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1906B0014</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机械基础</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00"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1913B0007</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w:t>
            </w:r>
            <w:r>
              <w:rPr>
                <w:rStyle w:val="39"/>
                <w:rFonts w:hint="default"/>
                <w:lang w:bidi="ar"/>
              </w:rPr>
              <w:t>Ⅱ)</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1913B0008</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材料力学</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1906B0013</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电工学A</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277"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5218"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b/>
                <w:color w:val="000000"/>
                <w:szCs w:val="21"/>
              </w:rPr>
            </w:pPr>
            <w:r>
              <w:rPr>
                <w:rFonts w:ascii="Times New Roman" w:hAnsi="Times New Roman"/>
                <w:b/>
                <w:color w:val="000000"/>
                <w:kern w:val="0"/>
                <w:szCs w:val="21"/>
                <w:lang w:bidi="ar"/>
              </w:rPr>
              <w:t>学科基础课小计</w:t>
            </w:r>
          </w:p>
        </w:tc>
        <w:tc>
          <w:tcPr>
            <w:tcW w:w="62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43</w:t>
            </w:r>
          </w:p>
        </w:tc>
        <w:tc>
          <w:tcPr>
            <w:tcW w:w="62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41.5</w:t>
            </w:r>
          </w:p>
        </w:tc>
        <w:tc>
          <w:tcPr>
            <w:tcW w:w="532"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1.5</w:t>
            </w:r>
          </w:p>
        </w:tc>
        <w:tc>
          <w:tcPr>
            <w:tcW w:w="668"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adjustRightInd w:val="0"/>
              <w:snapToGrid w:val="0"/>
              <w:jc w:val="center"/>
              <w:rPr>
                <w:rFonts w:ascii="宋体" w:hAnsi="宋体" w:cs="宋体"/>
                <w:color w:val="000000"/>
                <w:szCs w:val="21"/>
              </w:rPr>
            </w:pPr>
          </w:p>
        </w:tc>
        <w:tc>
          <w:tcPr>
            <w:tcW w:w="873"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adjustRightInd w:val="0"/>
              <w:snapToGrid w:val="0"/>
              <w:jc w:val="center"/>
              <w:rPr>
                <w:color w:val="000000"/>
                <w:szCs w:val="21"/>
              </w:rPr>
            </w:pPr>
          </w:p>
        </w:tc>
        <w:tc>
          <w:tcPr>
            <w:tcW w:w="84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adjustRightInd w:val="0"/>
              <w:snapToGrid w:val="0"/>
              <w:rPr>
                <w:color w:val="000000"/>
                <w:szCs w:val="21"/>
              </w:rPr>
            </w:pP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restart"/>
            <w:tcBorders>
              <w:top w:val="single" w:color="auto" w:sz="4" w:space="0"/>
              <w:left w:val="single" w:color="auto" w:sz="4" w:space="0"/>
              <w:bottom w:val="single" w:color="auto" w:sz="4" w:space="0"/>
              <w:right w:val="single" w:color="auto" w:sz="4" w:space="0"/>
            </w:tcBorders>
            <w:noWrap/>
            <w:tcMar>
              <w:top w:w="15" w:type="dxa"/>
              <w:left w:w="15" w:type="dxa"/>
              <w:right w:w="15" w:type="dxa"/>
            </w:tcMar>
            <w:textDirection w:val="tbRlV"/>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专业必修课</w:t>
            </w:r>
          </w:p>
        </w:tc>
        <w:tc>
          <w:tcPr>
            <w:tcW w:w="1134" w:type="dxa"/>
            <w:tcBorders>
              <w:top w:val="single" w:color="000000" w:sz="4" w:space="0"/>
              <w:left w:val="single" w:color="auto" w:sz="4" w:space="0"/>
              <w:bottom w:val="single" w:color="000000" w:sz="4" w:space="0"/>
              <w:right w:val="nil"/>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材工专业导论</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top"/>
              <w:rPr>
                <w:color w:val="000000"/>
                <w:sz w:val="18"/>
                <w:szCs w:val="18"/>
              </w:rPr>
            </w:pPr>
            <w:r>
              <w:rPr>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top"/>
              <w:rPr>
                <w:color w:val="000000"/>
                <w:sz w:val="18"/>
                <w:szCs w:val="18"/>
              </w:rPr>
            </w:pPr>
            <w:r>
              <w:rPr>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color w:val="000000"/>
                <w:sz w:val="18"/>
                <w:szCs w:val="18"/>
              </w:rPr>
            </w:pP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top"/>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1913P3001</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化学综合实验</w:t>
            </w:r>
            <w:r>
              <w:rPr>
                <w:rStyle w:val="44"/>
                <w:lang w:bidi="ar"/>
              </w:rPr>
              <w:t>(Ⅰ)</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1913P3002</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化学综合实验</w:t>
            </w:r>
            <w:r>
              <w:rPr>
                <w:rStyle w:val="44"/>
                <w:lang w:bidi="ar"/>
              </w:rPr>
              <w:t>(Ⅱ)</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1913P3003</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有机化学实验</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1913P3004</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物理化学实验</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1913P2001</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材料科学与工程基础</w:t>
            </w:r>
            <w:r>
              <w:rPr>
                <w:rStyle w:val="44"/>
                <w:lang w:bidi="ar"/>
              </w:rPr>
              <w:t>(</w:t>
            </w:r>
            <w:r>
              <w:rPr>
                <w:rStyle w:val="39"/>
                <w:rFonts w:hint="default"/>
                <w:lang w:bidi="ar"/>
              </w:rPr>
              <w:t>Ⅰ</w:t>
            </w:r>
            <w:r>
              <w:rPr>
                <w:rStyle w:val="44"/>
                <w:lang w:bidi="ar"/>
              </w:rPr>
              <w:t>)</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1913P2002</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材料科学与工程基础</w:t>
            </w:r>
            <w:r>
              <w:rPr>
                <w:rStyle w:val="44"/>
                <w:lang w:bidi="ar"/>
              </w:rPr>
              <w:t>(</w:t>
            </w:r>
            <w:r>
              <w:rPr>
                <w:rStyle w:val="39"/>
                <w:rFonts w:hint="default"/>
                <w:lang w:bidi="ar"/>
              </w:rPr>
              <w:t>Ⅱ</w:t>
            </w:r>
            <w:r>
              <w:rPr>
                <w:rStyle w:val="44"/>
                <w:lang w:bidi="ar"/>
              </w:rPr>
              <w:t>)</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1913P0002</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化工技术经济与管理</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1913P2003</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材料制备与合成</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1913P2004</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材料物理性能</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1913P2005</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材料加工原理</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1913P0003</w:t>
            </w:r>
          </w:p>
        </w:tc>
        <w:tc>
          <w:tcPr>
            <w:tcW w:w="36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材料科学与工程专业英语</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1913P2006</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应用电化学</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1913P3005</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材料基础实验</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1913P2007</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材料表征方法</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1913P0004</w:t>
            </w:r>
          </w:p>
        </w:tc>
        <w:tc>
          <w:tcPr>
            <w:tcW w:w="36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化工安全与环保</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1913P3006</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材料综合实验</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1913P0005</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化工</w:t>
            </w:r>
            <w:r>
              <w:rPr>
                <w:rStyle w:val="44"/>
                <w:lang w:bidi="ar"/>
              </w:rPr>
              <w:t>CAD</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1913P0006</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计算机在材料科学中的应用</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考试</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282"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1913P0007</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材工学科前沿</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1913P0008</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文献检索与写作</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5218"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b/>
                <w:color w:val="000000"/>
                <w:szCs w:val="21"/>
              </w:rPr>
            </w:pPr>
            <w:r>
              <w:rPr>
                <w:rFonts w:ascii="Times New Roman" w:hAnsi="Times New Roman"/>
                <w:b/>
                <w:color w:val="000000"/>
                <w:kern w:val="0"/>
                <w:szCs w:val="21"/>
                <w:lang w:bidi="ar"/>
              </w:rPr>
              <w:t>专业必修课小计</w:t>
            </w:r>
          </w:p>
        </w:tc>
        <w:tc>
          <w:tcPr>
            <w:tcW w:w="627"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39</w:t>
            </w:r>
          </w:p>
        </w:tc>
        <w:tc>
          <w:tcPr>
            <w:tcW w:w="627"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27</w:t>
            </w:r>
          </w:p>
        </w:tc>
        <w:tc>
          <w:tcPr>
            <w:tcW w:w="532"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12</w:t>
            </w:r>
          </w:p>
        </w:tc>
        <w:tc>
          <w:tcPr>
            <w:tcW w:w="668"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adjustRightInd w:val="0"/>
              <w:snapToGrid w:val="0"/>
              <w:jc w:val="center"/>
              <w:rPr>
                <w:rFonts w:ascii="Times New Roman" w:hAnsi="Times New Roman"/>
                <w:color w:val="000000"/>
                <w:szCs w:val="21"/>
              </w:rPr>
            </w:pPr>
          </w:p>
        </w:tc>
        <w:tc>
          <w:tcPr>
            <w:tcW w:w="873"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adjustRightInd w:val="0"/>
              <w:snapToGrid w:val="0"/>
              <w:jc w:val="center"/>
              <w:rPr>
                <w:rFonts w:ascii="Times New Roman" w:hAnsi="Times New Roman"/>
                <w:color w:val="000000"/>
                <w:szCs w:val="21"/>
              </w:rPr>
            </w:pPr>
          </w:p>
        </w:tc>
        <w:tc>
          <w:tcPr>
            <w:tcW w:w="84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adjustRightInd w:val="0"/>
              <w:snapToGrid w:val="0"/>
              <w:jc w:val="center"/>
              <w:rPr>
                <w:rFonts w:ascii="Times New Roman" w:hAnsi="Times New Roman"/>
                <w:color w:val="000000"/>
                <w:szCs w:val="21"/>
              </w:rPr>
            </w:pP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restart"/>
            <w:tcBorders>
              <w:top w:val="nil"/>
              <w:left w:val="single" w:color="000000" w:sz="4" w:space="0"/>
              <w:right w:val="nil"/>
            </w:tcBorders>
            <w:tcMar>
              <w:top w:w="15" w:type="dxa"/>
              <w:left w:w="15" w:type="dxa"/>
              <w:right w:w="15" w:type="dxa"/>
            </w:tcMar>
            <w:vAlign w:val="center"/>
          </w:tcPr>
          <w:p>
            <w:pPr>
              <w:adjustRightInd w:val="0"/>
              <w:snapToGrid w:val="0"/>
              <w:jc w:val="center"/>
              <w:rPr>
                <w:b/>
                <w:color w:val="000000"/>
                <w:szCs w:val="21"/>
              </w:rPr>
            </w:pPr>
            <w:r>
              <w:rPr>
                <w:rFonts w:hint="eastAsia"/>
                <w:b/>
                <w:color w:val="000000"/>
                <w:szCs w:val="21"/>
              </w:rPr>
              <w:t>专</w:t>
            </w:r>
          </w:p>
          <w:p>
            <w:pPr>
              <w:adjustRightInd w:val="0"/>
              <w:snapToGrid w:val="0"/>
              <w:jc w:val="center"/>
              <w:rPr>
                <w:b/>
                <w:color w:val="000000"/>
                <w:szCs w:val="21"/>
              </w:rPr>
            </w:pPr>
            <w:r>
              <w:rPr>
                <w:rFonts w:hint="eastAsia"/>
                <w:b/>
                <w:color w:val="000000"/>
                <w:szCs w:val="21"/>
              </w:rPr>
              <w:t>业</w:t>
            </w:r>
          </w:p>
          <w:p>
            <w:pPr>
              <w:adjustRightInd w:val="0"/>
              <w:snapToGrid w:val="0"/>
              <w:jc w:val="center"/>
              <w:rPr>
                <w:b/>
                <w:color w:val="000000"/>
                <w:szCs w:val="21"/>
              </w:rPr>
            </w:pPr>
            <w:r>
              <w:rPr>
                <w:rFonts w:hint="eastAsia"/>
                <w:b/>
                <w:color w:val="000000"/>
                <w:szCs w:val="21"/>
              </w:rPr>
              <w:t>选</w:t>
            </w:r>
          </w:p>
          <w:p>
            <w:pPr>
              <w:adjustRightInd w:val="0"/>
              <w:snapToGrid w:val="0"/>
              <w:jc w:val="center"/>
              <w:rPr>
                <w:b/>
                <w:color w:val="000000"/>
                <w:szCs w:val="21"/>
              </w:rPr>
            </w:pPr>
            <w:r>
              <w:rPr>
                <w:rFonts w:hint="eastAsia"/>
                <w:b/>
                <w:color w:val="000000"/>
                <w:szCs w:val="21"/>
              </w:rPr>
              <w:t>修</w:t>
            </w:r>
          </w:p>
          <w:p>
            <w:pPr>
              <w:adjustRightInd w:val="0"/>
              <w:snapToGrid w:val="0"/>
              <w:jc w:val="center"/>
              <w:rPr>
                <w:b/>
                <w:color w:val="000000"/>
                <w:szCs w:val="21"/>
              </w:rPr>
            </w:pPr>
            <w:r>
              <w:rPr>
                <w:rFonts w:hint="eastAsia"/>
                <w:b/>
                <w:color w:val="000000"/>
                <w:szCs w:val="21"/>
              </w:rPr>
              <w:t>课</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1901P1001</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◇实验室安全</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shd w:val="clear" w:color="auto" w:fill="auto"/>
            <w:tcMar>
              <w:top w:w="15" w:type="dxa"/>
              <w:left w:w="15" w:type="dxa"/>
              <w:right w:w="15" w:type="dxa"/>
            </w:tcMar>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1913P1008</w:t>
            </w:r>
          </w:p>
        </w:tc>
        <w:tc>
          <w:tcPr>
            <w:tcW w:w="36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中级无机化学</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shd w:val="clear" w:color="auto" w:fill="auto"/>
            <w:tcMar>
              <w:top w:w="15" w:type="dxa"/>
              <w:left w:w="15" w:type="dxa"/>
              <w:right w:w="15" w:type="dxa"/>
            </w:tcMar>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1913P1009</w:t>
            </w:r>
          </w:p>
        </w:tc>
        <w:tc>
          <w:tcPr>
            <w:tcW w:w="36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中级有机化学</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1913P1010</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新能源材料与应用</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1913P1011</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电池材料与技术</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1913P1012</w:t>
            </w:r>
          </w:p>
        </w:tc>
        <w:tc>
          <w:tcPr>
            <w:tcW w:w="36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废水监测分析方法</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1913P1013</w:t>
            </w:r>
          </w:p>
        </w:tc>
        <w:tc>
          <w:tcPr>
            <w:tcW w:w="36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环境化工概论</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1913P1043</w:t>
            </w:r>
          </w:p>
        </w:tc>
        <w:tc>
          <w:tcPr>
            <w:tcW w:w="36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rFonts w:ascii="宋体" w:hAnsi="宋体" w:cs="宋体"/>
                <w:color w:val="000000"/>
                <w:kern w:val="0"/>
                <w:sz w:val="18"/>
                <w:szCs w:val="18"/>
                <w:lang w:bidi="ar"/>
              </w:rPr>
            </w:pPr>
            <w:r>
              <w:rPr>
                <w:color w:val="000000"/>
                <w:kern w:val="0"/>
                <w:sz w:val="18"/>
                <w:szCs w:val="18"/>
                <w:lang w:bidi="ar"/>
              </w:rPr>
              <w:t>催化材料导论</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kern w:val="0"/>
                <w:sz w:val="18"/>
                <w:szCs w:val="18"/>
                <w:lang w:bidi="ar"/>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shd w:val="clear" w:color="auto" w:fill="auto"/>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1913P1014</w:t>
            </w:r>
          </w:p>
        </w:tc>
        <w:tc>
          <w:tcPr>
            <w:tcW w:w="36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材料化学</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1913P1015</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工业催化</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1913P1016</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计算材料学</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1913P1017</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化工产品市场营销</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1913P1018</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化工废水处理</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1913P1019</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绿色化学概论</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1913P1020</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功能高分子</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1913P1021</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高分子成型设备与模具</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1913P1022</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聚合物共混改性</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1913P1023</w:t>
            </w:r>
          </w:p>
        </w:tc>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高分子材料与应用</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426" w:type="dxa"/>
            <w:vMerge w:val="continue"/>
            <w:tcBorders>
              <w:left w:val="single" w:color="000000" w:sz="4" w:space="0"/>
              <w:bottom w:val="nil"/>
              <w:right w:val="nil"/>
            </w:tcBorders>
            <w:noWrap/>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1913P1024</w:t>
            </w:r>
          </w:p>
        </w:tc>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color w:val="000000"/>
                <w:sz w:val="18"/>
                <w:szCs w:val="18"/>
              </w:rPr>
            </w:pPr>
            <w:r>
              <w:rPr>
                <w:rFonts w:hint="eastAsia" w:ascii="宋体" w:hAnsi="宋体" w:cs="宋体"/>
                <w:color w:val="000000"/>
                <w:kern w:val="0"/>
                <w:sz w:val="18"/>
                <w:szCs w:val="18"/>
                <w:lang w:bidi="ar"/>
              </w:rPr>
              <w:t>高分子复合材料</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3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66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5218"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b/>
                <w:color w:val="000000"/>
                <w:szCs w:val="21"/>
              </w:rPr>
            </w:pPr>
            <w:r>
              <w:rPr>
                <w:rFonts w:ascii="Times New Roman" w:hAnsi="Times New Roman"/>
                <w:b/>
                <w:color w:val="000000"/>
                <w:kern w:val="0"/>
                <w:szCs w:val="21"/>
                <w:lang w:bidi="ar"/>
              </w:rPr>
              <w:t>专业选修课小计</w:t>
            </w:r>
          </w:p>
        </w:tc>
        <w:tc>
          <w:tcPr>
            <w:tcW w:w="627"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627"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532"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adjustRightInd w:val="0"/>
              <w:snapToGrid w:val="0"/>
              <w:jc w:val="center"/>
              <w:rPr>
                <w:rFonts w:ascii="Times New Roman" w:hAnsi="Times New Roman"/>
                <w:color w:val="000000"/>
                <w:szCs w:val="21"/>
              </w:rPr>
            </w:pPr>
          </w:p>
        </w:tc>
        <w:tc>
          <w:tcPr>
            <w:tcW w:w="668"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adjustRightInd w:val="0"/>
              <w:snapToGrid w:val="0"/>
              <w:jc w:val="center"/>
              <w:rPr>
                <w:rFonts w:ascii="Times New Roman" w:hAnsi="Times New Roman"/>
                <w:color w:val="000000"/>
                <w:szCs w:val="21"/>
              </w:rPr>
            </w:pPr>
          </w:p>
        </w:tc>
        <w:tc>
          <w:tcPr>
            <w:tcW w:w="873"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adjustRightInd w:val="0"/>
              <w:snapToGrid w:val="0"/>
              <w:jc w:val="center"/>
              <w:rPr>
                <w:rFonts w:ascii="Times New Roman" w:hAnsi="Times New Roman"/>
                <w:color w:val="000000"/>
                <w:szCs w:val="21"/>
              </w:rPr>
            </w:pPr>
          </w:p>
        </w:tc>
        <w:tc>
          <w:tcPr>
            <w:tcW w:w="84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adjustRightInd w:val="0"/>
              <w:snapToGrid w:val="0"/>
              <w:jc w:val="center"/>
              <w:rPr>
                <w:rFonts w:ascii="Times New Roman" w:hAnsi="Times New Roman"/>
                <w:color w:val="000000"/>
                <w:szCs w:val="21"/>
              </w:rPr>
            </w:pPr>
          </w:p>
        </w:tc>
      </w:tr>
      <w:tr>
        <w:tblPrEx>
          <w:tblCellMar>
            <w:top w:w="0" w:type="dxa"/>
            <w:left w:w="0" w:type="dxa"/>
            <w:bottom w:w="0" w:type="dxa"/>
            <w:right w:w="0" w:type="dxa"/>
          </w:tblCellMar>
        </w:tblPrEx>
        <w:trPr>
          <w:trHeight w:val="285" w:hRule="atLeast"/>
          <w:jc w:val="center"/>
        </w:trPr>
        <w:tc>
          <w:tcPr>
            <w:tcW w:w="5644" w:type="dxa"/>
            <w:gridSpan w:val="4"/>
            <w:tcBorders>
              <w:top w:val="single" w:color="000000" w:sz="4" w:space="0"/>
              <w:left w:val="single" w:color="000000" w:sz="4" w:space="0"/>
              <w:bottom w:val="single" w:color="auto" w:sz="4" w:space="0"/>
              <w:right w:val="single" w:color="000000" w:sz="4" w:space="0"/>
            </w:tcBorders>
            <w:shd w:val="clear" w:color="auto" w:fill="99CC00"/>
            <w:tcMar>
              <w:top w:w="15" w:type="dxa"/>
              <w:left w:w="15" w:type="dxa"/>
              <w:right w:w="15" w:type="dxa"/>
            </w:tcMar>
            <w:vAlign w:val="center"/>
          </w:tcPr>
          <w:p>
            <w:pPr>
              <w:widowControl/>
              <w:adjustRightInd w:val="0"/>
              <w:snapToGrid w:val="0"/>
              <w:jc w:val="center"/>
              <w:textAlignment w:val="center"/>
              <w:rPr>
                <w:rFonts w:ascii="Times New Roman" w:hAnsi="Times New Roman"/>
                <w:b/>
                <w:color w:val="000000"/>
                <w:szCs w:val="21"/>
              </w:rPr>
            </w:pPr>
            <w:r>
              <w:rPr>
                <w:rFonts w:ascii="Times New Roman" w:hAnsi="Times New Roman"/>
                <w:b/>
                <w:color w:val="000000"/>
                <w:kern w:val="0"/>
                <w:szCs w:val="21"/>
                <w:lang w:bidi="ar"/>
              </w:rPr>
              <w:t>专业课程平台合计</w:t>
            </w:r>
          </w:p>
        </w:tc>
        <w:tc>
          <w:tcPr>
            <w:tcW w:w="627"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adjustRightInd w:val="0"/>
              <w:snapToGrid w:val="0"/>
              <w:rPr>
                <w:rFonts w:ascii="Times New Roman" w:hAnsi="Times New Roman"/>
                <w:color w:val="000000"/>
                <w:szCs w:val="21"/>
              </w:rPr>
            </w:pPr>
          </w:p>
        </w:tc>
        <w:tc>
          <w:tcPr>
            <w:tcW w:w="627"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adjustRightInd w:val="0"/>
              <w:snapToGrid w:val="0"/>
              <w:rPr>
                <w:rFonts w:ascii="Times New Roman" w:hAnsi="Times New Roman"/>
                <w:color w:val="000000"/>
                <w:szCs w:val="21"/>
              </w:rPr>
            </w:pPr>
          </w:p>
        </w:tc>
        <w:tc>
          <w:tcPr>
            <w:tcW w:w="532"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adjustRightInd w:val="0"/>
              <w:snapToGrid w:val="0"/>
              <w:rPr>
                <w:rFonts w:ascii="Times New Roman" w:hAnsi="Times New Roman"/>
                <w:color w:val="000000"/>
                <w:szCs w:val="21"/>
              </w:rPr>
            </w:pPr>
          </w:p>
        </w:tc>
        <w:tc>
          <w:tcPr>
            <w:tcW w:w="668"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adjustRightInd w:val="0"/>
              <w:snapToGrid w:val="0"/>
              <w:rPr>
                <w:rFonts w:ascii="Times New Roman" w:hAnsi="Times New Roman"/>
                <w:color w:val="000000"/>
                <w:szCs w:val="21"/>
              </w:rPr>
            </w:pPr>
          </w:p>
        </w:tc>
        <w:tc>
          <w:tcPr>
            <w:tcW w:w="873"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adjustRightInd w:val="0"/>
              <w:snapToGrid w:val="0"/>
              <w:rPr>
                <w:rFonts w:ascii="Times New Roman" w:hAnsi="Times New Roman"/>
                <w:color w:val="000000"/>
                <w:szCs w:val="21"/>
              </w:rPr>
            </w:pPr>
          </w:p>
        </w:tc>
        <w:tc>
          <w:tcPr>
            <w:tcW w:w="84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adjustRightInd w:val="0"/>
              <w:snapToGrid w:val="0"/>
              <w:rPr>
                <w:rFonts w:ascii="Times New Roman" w:hAnsi="Times New Roman"/>
                <w:color w:val="000000"/>
                <w:szCs w:val="21"/>
              </w:rPr>
            </w:pPr>
          </w:p>
        </w:tc>
      </w:tr>
      <w:tr>
        <w:tblPrEx>
          <w:tblCellMar>
            <w:top w:w="0" w:type="dxa"/>
            <w:left w:w="0" w:type="dxa"/>
            <w:bottom w:w="0" w:type="dxa"/>
            <w:right w:w="0" w:type="dxa"/>
          </w:tblCellMar>
        </w:tblPrEx>
        <w:trPr>
          <w:trHeight w:val="375" w:hRule="atLeast"/>
          <w:jc w:val="center"/>
        </w:trPr>
        <w:tc>
          <w:tcPr>
            <w:tcW w:w="852" w:type="dxa"/>
            <w:gridSpan w:val="2"/>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实践教育平台</w:t>
            </w: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1901T0001</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军事技能</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00"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1913T0001</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认识实习</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1906T0022</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机械基础课程设计</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1906T0021</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金工实习</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1913T0003</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材料制备与合成课程设计</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1913T0004</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材料物理性能与测试技术课程设计</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1913T0005</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综合创新训练</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2</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5-7</w:t>
            </w:r>
          </w:p>
        </w:tc>
      </w:tr>
      <w:tr>
        <w:tblPrEx>
          <w:tblCellMar>
            <w:top w:w="0" w:type="dxa"/>
            <w:left w:w="0" w:type="dxa"/>
            <w:bottom w:w="0" w:type="dxa"/>
            <w:right w:w="0" w:type="dxa"/>
          </w:tblCellMar>
        </w:tblPrEx>
        <w:trPr>
          <w:trHeight w:val="315"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1913T0007</w:t>
            </w:r>
          </w:p>
        </w:tc>
        <w:tc>
          <w:tcPr>
            <w:tcW w:w="365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毕业实习</w:t>
            </w:r>
          </w:p>
        </w:tc>
        <w:tc>
          <w:tcPr>
            <w:tcW w:w="62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4</w:t>
            </w:r>
          </w:p>
        </w:tc>
        <w:tc>
          <w:tcPr>
            <w:tcW w:w="62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4</w:t>
            </w:r>
          </w:p>
        </w:tc>
        <w:tc>
          <w:tcPr>
            <w:tcW w:w="6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tcPr>
          <w:p>
            <w:pPr>
              <w:adjustRightInd w:val="0"/>
              <w:snapToGrid w:val="0"/>
              <w:jc w:val="center"/>
              <w:rPr>
                <w:rFonts w:ascii="Times New Roman" w:hAnsi="Times New Roman"/>
                <w:color w:val="000000"/>
                <w:sz w:val="18"/>
                <w:szCs w:val="18"/>
              </w:rPr>
            </w:pPr>
          </w:p>
        </w:tc>
        <w:tc>
          <w:tcPr>
            <w:tcW w:w="84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852"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adjustRightInd w:val="0"/>
              <w:snapToGrid w:val="0"/>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adjustRightInd w:val="0"/>
              <w:snapToGrid w:val="0"/>
              <w:jc w:val="center"/>
              <w:textAlignment w:val="center"/>
              <w:rPr>
                <w:color w:val="000000"/>
                <w:sz w:val="18"/>
                <w:szCs w:val="18"/>
              </w:rPr>
            </w:pPr>
            <w:r>
              <w:rPr>
                <w:rFonts w:ascii="Times New Roman" w:hAnsi="Times New Roman"/>
                <w:color w:val="000000"/>
                <w:kern w:val="0"/>
                <w:sz w:val="18"/>
                <w:szCs w:val="18"/>
                <w:lang w:bidi="ar"/>
              </w:rPr>
              <w:t>1913T0008</w:t>
            </w:r>
          </w:p>
        </w:tc>
        <w:tc>
          <w:tcPr>
            <w:tcW w:w="365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毕业设计（论文）</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12</w:t>
            </w:r>
          </w:p>
        </w:tc>
        <w:tc>
          <w:tcPr>
            <w:tcW w:w="62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rFonts w:ascii="Times New Roman" w:hAnsi="Times New Roman"/>
                <w:color w:val="000000"/>
                <w:sz w:val="18"/>
                <w:szCs w:val="18"/>
              </w:rPr>
            </w:pPr>
          </w:p>
        </w:tc>
        <w:tc>
          <w:tcPr>
            <w:tcW w:w="532"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12</w:t>
            </w:r>
          </w:p>
        </w:tc>
        <w:tc>
          <w:tcPr>
            <w:tcW w:w="6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adjustRightInd w:val="0"/>
              <w:snapToGrid w:val="0"/>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73"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adjustRightInd w:val="0"/>
              <w:snapToGrid w:val="0"/>
              <w:jc w:val="center"/>
              <w:rPr>
                <w:color w:val="000000"/>
                <w:sz w:val="18"/>
                <w:szCs w:val="18"/>
              </w:rPr>
            </w:pPr>
          </w:p>
        </w:tc>
        <w:tc>
          <w:tcPr>
            <w:tcW w:w="84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adjustRightInd w:val="0"/>
              <w:snapToGrid w:val="0"/>
              <w:jc w:val="center"/>
              <w:textAlignment w:val="top"/>
              <w:rPr>
                <w:color w:val="000000"/>
                <w:sz w:val="18"/>
                <w:szCs w:val="18"/>
              </w:rPr>
            </w:pPr>
            <w:r>
              <w:rPr>
                <w:rFonts w:ascii="Symbol" w:hAnsi="Symbol" w:cs="Symbol"/>
                <w:color w:val="000000"/>
                <w:kern w:val="0"/>
                <w:sz w:val="18"/>
                <w:szCs w:val="18"/>
                <w:lang w:bidi="ar"/>
              </w:rPr>
              <w:t></w:t>
            </w:r>
          </w:p>
        </w:tc>
      </w:tr>
      <w:tr>
        <w:tblPrEx>
          <w:tblCellMar>
            <w:top w:w="0" w:type="dxa"/>
            <w:left w:w="0" w:type="dxa"/>
            <w:bottom w:w="0" w:type="dxa"/>
            <w:right w:w="0" w:type="dxa"/>
          </w:tblCellMar>
        </w:tblPrEx>
        <w:trPr>
          <w:trHeight w:val="285" w:hRule="atLeast"/>
          <w:jc w:val="center"/>
        </w:trPr>
        <w:tc>
          <w:tcPr>
            <w:tcW w:w="5644" w:type="dxa"/>
            <w:gridSpan w:val="4"/>
            <w:tcBorders>
              <w:top w:val="single" w:color="auto"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adjustRightInd w:val="0"/>
              <w:snapToGrid w:val="0"/>
              <w:jc w:val="center"/>
              <w:textAlignment w:val="center"/>
              <w:rPr>
                <w:b/>
                <w:color w:val="000000"/>
                <w:szCs w:val="21"/>
              </w:rPr>
            </w:pPr>
            <w:r>
              <w:rPr>
                <w:rFonts w:hint="eastAsia" w:ascii="宋体" w:hAnsi="宋体" w:cs="宋体"/>
                <w:b/>
                <w:color w:val="000000"/>
                <w:kern w:val="0"/>
                <w:szCs w:val="21"/>
                <w:lang w:bidi="ar"/>
              </w:rPr>
              <w:t>实践教育平台合计</w:t>
            </w:r>
          </w:p>
        </w:tc>
        <w:tc>
          <w:tcPr>
            <w:tcW w:w="627"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25</w:t>
            </w:r>
          </w:p>
        </w:tc>
        <w:tc>
          <w:tcPr>
            <w:tcW w:w="627"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adjustRightInd w:val="0"/>
              <w:snapToGrid w:val="0"/>
              <w:jc w:val="center"/>
              <w:rPr>
                <w:rFonts w:ascii="Times New Roman" w:hAnsi="Times New Roman"/>
                <w:color w:val="000000"/>
                <w:szCs w:val="21"/>
              </w:rPr>
            </w:pPr>
          </w:p>
        </w:tc>
        <w:tc>
          <w:tcPr>
            <w:tcW w:w="532"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Cs w:val="21"/>
              </w:rPr>
            </w:pPr>
            <w:r>
              <w:rPr>
                <w:rFonts w:ascii="Times New Roman" w:hAnsi="Times New Roman"/>
                <w:color w:val="000000"/>
                <w:kern w:val="0"/>
                <w:szCs w:val="21"/>
                <w:lang w:bidi="ar"/>
              </w:rPr>
              <w:t>25</w:t>
            </w:r>
          </w:p>
        </w:tc>
        <w:tc>
          <w:tcPr>
            <w:tcW w:w="668"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adjustRightInd w:val="0"/>
              <w:snapToGrid w:val="0"/>
              <w:jc w:val="center"/>
              <w:rPr>
                <w:rFonts w:ascii="宋体" w:hAnsi="宋体" w:cs="宋体"/>
                <w:color w:val="000000"/>
                <w:szCs w:val="21"/>
              </w:rPr>
            </w:pPr>
          </w:p>
        </w:tc>
        <w:tc>
          <w:tcPr>
            <w:tcW w:w="873"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adjustRightInd w:val="0"/>
              <w:snapToGrid w:val="0"/>
              <w:jc w:val="center"/>
              <w:rPr>
                <w:color w:val="000000"/>
                <w:szCs w:val="21"/>
              </w:rPr>
            </w:pPr>
          </w:p>
        </w:tc>
        <w:tc>
          <w:tcPr>
            <w:tcW w:w="845"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adjustRightInd w:val="0"/>
              <w:snapToGrid w:val="0"/>
              <w:jc w:val="center"/>
              <w:rPr>
                <w:color w:val="000000"/>
                <w:szCs w:val="21"/>
              </w:rPr>
            </w:pPr>
          </w:p>
        </w:tc>
      </w:tr>
      <w:tr>
        <w:tblPrEx>
          <w:tblCellMar>
            <w:top w:w="0" w:type="dxa"/>
            <w:left w:w="0" w:type="dxa"/>
            <w:bottom w:w="0" w:type="dxa"/>
            <w:right w:w="0" w:type="dxa"/>
          </w:tblCellMar>
        </w:tblPrEx>
        <w:trPr>
          <w:trHeight w:val="285" w:hRule="atLeast"/>
          <w:jc w:val="center"/>
        </w:trPr>
        <w:tc>
          <w:tcPr>
            <w:tcW w:w="5644" w:type="dxa"/>
            <w:gridSpan w:val="4"/>
            <w:tcBorders>
              <w:top w:val="single" w:color="000000" w:sz="4" w:space="0"/>
              <w:left w:val="single" w:color="000000" w:sz="4" w:space="0"/>
              <w:bottom w:val="single" w:color="000000" w:sz="4" w:space="0"/>
              <w:right w:val="single" w:color="000000" w:sz="4" w:space="0"/>
            </w:tcBorders>
            <w:shd w:val="clear" w:color="auto" w:fill="FF9900"/>
            <w:tcMar>
              <w:top w:w="15" w:type="dxa"/>
              <w:left w:w="15" w:type="dxa"/>
              <w:right w:w="15" w:type="dxa"/>
            </w:tcMar>
            <w:vAlign w:val="center"/>
          </w:tcPr>
          <w:p>
            <w:pPr>
              <w:widowControl/>
              <w:adjustRightInd w:val="0"/>
              <w:snapToGrid w:val="0"/>
              <w:jc w:val="center"/>
              <w:textAlignment w:val="center"/>
              <w:rPr>
                <w:b/>
                <w:color w:val="000000"/>
                <w:sz w:val="20"/>
                <w:szCs w:val="20"/>
              </w:rPr>
            </w:pPr>
            <w:r>
              <w:rPr>
                <w:rFonts w:hint="eastAsia" w:ascii="宋体" w:hAnsi="宋体" w:cs="宋体"/>
                <w:b/>
                <w:color w:val="000000"/>
                <w:kern w:val="0"/>
                <w:sz w:val="20"/>
                <w:szCs w:val="20"/>
                <w:lang w:bidi="ar"/>
              </w:rPr>
              <w:t>学分共计</w:t>
            </w:r>
          </w:p>
        </w:tc>
        <w:tc>
          <w:tcPr>
            <w:tcW w:w="627"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20"/>
                <w:szCs w:val="20"/>
              </w:rPr>
            </w:pPr>
            <w:r>
              <w:rPr>
                <w:rFonts w:ascii="Times New Roman" w:hAnsi="Times New Roman"/>
                <w:color w:val="000000"/>
                <w:kern w:val="0"/>
                <w:sz w:val="20"/>
                <w:szCs w:val="20"/>
                <w:lang w:bidi="ar"/>
              </w:rPr>
              <w:t>168.5</w:t>
            </w:r>
          </w:p>
        </w:tc>
        <w:tc>
          <w:tcPr>
            <w:tcW w:w="627"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20"/>
                <w:szCs w:val="20"/>
              </w:rPr>
            </w:pPr>
            <w:r>
              <w:rPr>
                <w:rFonts w:ascii="Times New Roman" w:hAnsi="Times New Roman"/>
                <w:color w:val="000000"/>
                <w:kern w:val="0"/>
                <w:sz w:val="20"/>
                <w:szCs w:val="20"/>
                <w:lang w:bidi="ar"/>
              </w:rPr>
              <w:t>121.5</w:t>
            </w:r>
          </w:p>
        </w:tc>
        <w:tc>
          <w:tcPr>
            <w:tcW w:w="532"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adjustRightInd w:val="0"/>
              <w:snapToGrid w:val="0"/>
              <w:jc w:val="center"/>
              <w:textAlignment w:val="center"/>
              <w:rPr>
                <w:rFonts w:ascii="Times New Roman" w:hAnsi="Times New Roman"/>
                <w:color w:val="000000"/>
                <w:sz w:val="20"/>
                <w:szCs w:val="20"/>
              </w:rPr>
            </w:pPr>
            <w:r>
              <w:rPr>
                <w:rFonts w:ascii="Times New Roman" w:hAnsi="Times New Roman"/>
                <w:color w:val="000000"/>
                <w:kern w:val="0"/>
                <w:sz w:val="20"/>
                <w:szCs w:val="20"/>
                <w:lang w:bidi="ar"/>
              </w:rPr>
              <w:t>47</w:t>
            </w:r>
          </w:p>
        </w:tc>
        <w:tc>
          <w:tcPr>
            <w:tcW w:w="668"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adjustRightInd w:val="0"/>
              <w:snapToGrid w:val="0"/>
              <w:rPr>
                <w:rFonts w:ascii="宋体" w:hAnsi="宋体" w:cs="宋体"/>
                <w:color w:val="000000"/>
                <w:sz w:val="20"/>
                <w:szCs w:val="20"/>
              </w:rPr>
            </w:pPr>
          </w:p>
        </w:tc>
        <w:tc>
          <w:tcPr>
            <w:tcW w:w="873"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adjustRightInd w:val="0"/>
              <w:snapToGrid w:val="0"/>
              <w:rPr>
                <w:color w:val="000000"/>
                <w:sz w:val="20"/>
                <w:szCs w:val="20"/>
              </w:rPr>
            </w:pPr>
          </w:p>
        </w:tc>
        <w:tc>
          <w:tcPr>
            <w:tcW w:w="84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adjustRightInd w:val="0"/>
              <w:snapToGrid w:val="0"/>
              <w:rPr>
                <w:color w:val="000000"/>
                <w:sz w:val="20"/>
                <w:szCs w:val="20"/>
              </w:rPr>
            </w:pPr>
          </w:p>
        </w:tc>
      </w:tr>
      <w:tr>
        <w:tblPrEx>
          <w:tblCellMar>
            <w:top w:w="0" w:type="dxa"/>
            <w:left w:w="0" w:type="dxa"/>
            <w:bottom w:w="0" w:type="dxa"/>
            <w:right w:w="0" w:type="dxa"/>
          </w:tblCellMar>
        </w:tblPrEx>
        <w:trPr>
          <w:trHeight w:val="285" w:hRule="atLeast"/>
          <w:jc w:val="center"/>
        </w:trPr>
        <w:tc>
          <w:tcPr>
            <w:tcW w:w="9816" w:type="dxa"/>
            <w:gridSpan w:val="10"/>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adjustRightInd w:val="0"/>
              <w:snapToGrid w:val="0"/>
              <w:jc w:val="left"/>
              <w:textAlignment w:val="center"/>
              <w:rPr>
                <w:color w:val="000000"/>
                <w:szCs w:val="21"/>
              </w:rPr>
            </w:pPr>
            <w:r>
              <w:rPr>
                <w:rFonts w:hint="eastAsia" w:ascii="宋体" w:hAnsi="宋体" w:cs="宋体"/>
                <w:color w:val="000000"/>
                <w:kern w:val="0"/>
                <w:szCs w:val="21"/>
                <w:lang w:bidi="ar"/>
              </w:rPr>
              <w:t>备注：</w:t>
            </w:r>
            <w:r>
              <w:rPr>
                <w:color w:val="000000"/>
                <w:kern w:val="0"/>
                <w:szCs w:val="21"/>
                <w:lang w:bidi="ar"/>
              </w:rPr>
              <w:t>1.</w:t>
            </w:r>
            <w:r>
              <w:rPr>
                <w:rFonts w:hint="eastAsia" w:ascii="宋体" w:hAnsi="宋体" w:cs="宋体"/>
                <w:color w:val="000000"/>
                <w:kern w:val="0"/>
                <w:szCs w:val="21"/>
                <w:lang w:bidi="ar"/>
              </w:rPr>
              <w:t>表格中填充的文字用宋体，字号</w:t>
            </w:r>
            <w:r>
              <w:rPr>
                <w:color w:val="000000"/>
                <w:kern w:val="0"/>
                <w:szCs w:val="21"/>
                <w:lang w:bidi="ar"/>
              </w:rPr>
              <w:t>9</w:t>
            </w:r>
            <w:r>
              <w:rPr>
                <w:rFonts w:hint="eastAsia" w:ascii="宋体" w:hAnsi="宋体" w:cs="宋体"/>
                <w:color w:val="000000"/>
                <w:kern w:val="0"/>
                <w:szCs w:val="21"/>
                <w:lang w:bidi="ar"/>
              </w:rPr>
              <w:t>号。</w:t>
            </w:r>
          </w:p>
        </w:tc>
      </w:tr>
      <w:tr>
        <w:tblPrEx>
          <w:tblCellMar>
            <w:top w:w="0" w:type="dxa"/>
            <w:left w:w="0" w:type="dxa"/>
            <w:bottom w:w="0" w:type="dxa"/>
            <w:right w:w="0" w:type="dxa"/>
          </w:tblCellMar>
        </w:tblPrEx>
        <w:trPr>
          <w:trHeight w:val="285" w:hRule="atLeast"/>
          <w:jc w:val="center"/>
        </w:trPr>
        <w:tc>
          <w:tcPr>
            <w:tcW w:w="9816" w:type="dxa"/>
            <w:gridSpan w:val="10"/>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adjustRightInd w:val="0"/>
              <w:snapToGrid w:val="0"/>
              <w:jc w:val="left"/>
              <w:textAlignment w:val="center"/>
              <w:rPr>
                <w:color w:val="000000"/>
                <w:szCs w:val="21"/>
              </w:rPr>
            </w:pPr>
            <w:r>
              <w:rPr>
                <w:color w:val="000000"/>
                <w:kern w:val="0"/>
                <w:szCs w:val="21"/>
                <w:lang w:bidi="ar"/>
              </w:rPr>
              <w:t xml:space="preserve">      2.</w:t>
            </w:r>
            <w:r>
              <w:rPr>
                <w:rFonts w:hint="eastAsia" w:ascii="宋体" w:hAnsi="宋体" w:cs="宋体"/>
                <w:color w:val="000000"/>
                <w:kern w:val="0"/>
                <w:szCs w:val="21"/>
                <w:lang w:bidi="ar"/>
              </w:rPr>
              <w:t>课程设置具体要求详见指导性意见。</w:t>
            </w:r>
          </w:p>
        </w:tc>
      </w:tr>
    </w:tbl>
    <w:p>
      <w:pPr>
        <w:adjustRightInd w:val="0"/>
        <w:snapToGrid w:val="0"/>
        <w:spacing w:before="156" w:beforeLines="50" w:line="324" w:lineRule="auto"/>
        <w:jc w:val="center"/>
        <w:rPr>
          <w:b/>
          <w:color w:val="000000"/>
          <w:sz w:val="24"/>
        </w:rPr>
      </w:pPr>
      <w:r>
        <w:rPr>
          <w:b/>
          <w:color w:val="000000"/>
          <w:sz w:val="24"/>
        </w:rPr>
        <w:t>材料科学与工程专业课程构成及学分分配汇总表</w:t>
      </w:r>
    </w:p>
    <w:tbl>
      <w:tblPr>
        <w:tblStyle w:val="2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590"/>
        <w:gridCol w:w="1580"/>
        <w:gridCol w:w="1088"/>
        <w:gridCol w:w="1247"/>
        <w:gridCol w:w="1632"/>
        <w:gridCol w:w="16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color w:val="000000"/>
                <w:szCs w:val="21"/>
              </w:rPr>
            </w:pPr>
            <w:r>
              <w:rPr>
                <w:color w:val="000000"/>
                <w:szCs w:val="21"/>
              </w:rPr>
              <w:t>课 程 分 类</w:t>
            </w:r>
          </w:p>
        </w:tc>
        <w:tc>
          <w:tcPr>
            <w:tcW w:w="1088" w:type="dxa"/>
            <w:tcBorders>
              <w:top w:val="single" w:color="auto" w:sz="4" w:space="0"/>
              <w:left w:val="single" w:color="auto" w:sz="6" w:space="0"/>
              <w:bottom w:val="nil"/>
              <w:right w:val="single" w:color="auto" w:sz="6" w:space="0"/>
            </w:tcBorders>
            <w:vAlign w:val="center"/>
          </w:tcPr>
          <w:p>
            <w:pPr>
              <w:adjustRightInd w:val="0"/>
              <w:snapToGrid w:val="0"/>
              <w:jc w:val="center"/>
              <w:rPr>
                <w:color w:val="000000"/>
                <w:szCs w:val="21"/>
              </w:rPr>
            </w:pPr>
            <w:r>
              <w:rPr>
                <w:color w:val="000000"/>
                <w:szCs w:val="21"/>
              </w:rPr>
              <w:t>学分</w:t>
            </w:r>
          </w:p>
        </w:tc>
        <w:tc>
          <w:tcPr>
            <w:tcW w:w="1247" w:type="dxa"/>
            <w:tcBorders>
              <w:top w:val="single" w:color="auto" w:sz="4" w:space="0"/>
              <w:left w:val="single" w:color="auto" w:sz="6" w:space="0"/>
              <w:bottom w:val="nil"/>
              <w:right w:val="single" w:color="auto" w:sz="6" w:space="0"/>
            </w:tcBorders>
            <w:vAlign w:val="center"/>
          </w:tcPr>
          <w:p>
            <w:pPr>
              <w:adjustRightInd w:val="0"/>
              <w:snapToGrid w:val="0"/>
              <w:jc w:val="center"/>
              <w:rPr>
                <w:color w:val="000000"/>
                <w:szCs w:val="21"/>
              </w:rPr>
            </w:pPr>
            <w:r>
              <w:rPr>
                <w:color w:val="000000"/>
                <w:szCs w:val="21"/>
              </w:rPr>
              <w:t>比例（%）</w:t>
            </w:r>
          </w:p>
        </w:tc>
        <w:tc>
          <w:tcPr>
            <w:tcW w:w="1632" w:type="dxa"/>
            <w:tcBorders>
              <w:top w:val="single" w:color="auto" w:sz="4" w:space="0"/>
              <w:left w:val="single" w:color="auto" w:sz="6" w:space="0"/>
              <w:bottom w:val="nil"/>
              <w:right w:val="single" w:color="auto" w:sz="4" w:space="0"/>
            </w:tcBorders>
            <w:vAlign w:val="center"/>
          </w:tcPr>
          <w:p>
            <w:pPr>
              <w:adjustRightInd w:val="0"/>
              <w:snapToGrid w:val="0"/>
              <w:jc w:val="center"/>
              <w:rPr>
                <w:color w:val="000000"/>
                <w:szCs w:val="21"/>
              </w:rPr>
            </w:pPr>
            <w:r>
              <w:rPr>
                <w:color w:val="000000"/>
                <w:szCs w:val="21"/>
              </w:rPr>
              <w:t>实践环节学分</w:t>
            </w:r>
          </w:p>
        </w:tc>
        <w:tc>
          <w:tcPr>
            <w:tcW w:w="1650" w:type="dxa"/>
            <w:tcBorders>
              <w:top w:val="single" w:color="auto" w:sz="4" w:space="0"/>
              <w:left w:val="single" w:color="auto" w:sz="6" w:space="0"/>
              <w:bottom w:val="nil"/>
              <w:right w:val="single" w:color="auto" w:sz="4" w:space="0"/>
            </w:tcBorders>
            <w:vAlign w:val="center"/>
          </w:tcPr>
          <w:p>
            <w:pPr>
              <w:adjustRightInd w:val="0"/>
              <w:snapToGrid w:val="0"/>
              <w:jc w:val="center"/>
              <w:rPr>
                <w:color w:val="000000"/>
                <w:szCs w:val="21"/>
              </w:rPr>
            </w:pPr>
            <w:r>
              <w:rPr>
                <w:color w:val="000000"/>
                <w:szCs w:val="21"/>
              </w:rPr>
              <w:t>实践环节</w:t>
            </w:r>
          </w:p>
          <w:p>
            <w:pPr>
              <w:adjustRightInd w:val="0"/>
              <w:snapToGrid w:val="0"/>
              <w:jc w:val="center"/>
              <w:rPr>
                <w:color w:val="000000"/>
                <w:szCs w:val="21"/>
              </w:rPr>
            </w:pPr>
            <w:r>
              <w:rPr>
                <w:color w:val="000000"/>
                <w:szCs w:val="21"/>
              </w:rPr>
              <w:t>学分比例（%）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color w:val="000000"/>
                <w:szCs w:val="21"/>
              </w:rPr>
            </w:pPr>
            <w:r>
              <w:rPr>
                <w:color w:val="000000"/>
                <w:szCs w:val="21"/>
              </w:rPr>
              <w:t>通识教育平台</w:t>
            </w:r>
          </w:p>
        </w:tc>
        <w:tc>
          <w:tcPr>
            <w:tcW w:w="158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color w:val="000000"/>
                <w:szCs w:val="21"/>
              </w:rPr>
            </w:pPr>
            <w:r>
              <w:rPr>
                <w:color w:val="000000"/>
                <w:szCs w:val="21"/>
              </w:rPr>
              <w:t>通识必修课</w:t>
            </w:r>
          </w:p>
        </w:tc>
        <w:tc>
          <w:tcPr>
            <w:tcW w:w="1088"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45.5</w:t>
            </w:r>
          </w:p>
        </w:tc>
        <w:tc>
          <w:tcPr>
            <w:tcW w:w="1247"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27.00</w:t>
            </w:r>
          </w:p>
        </w:tc>
        <w:tc>
          <w:tcPr>
            <w:tcW w:w="1632"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8.5</w:t>
            </w:r>
          </w:p>
        </w:tc>
        <w:tc>
          <w:tcPr>
            <w:tcW w:w="1650" w:type="dxa"/>
            <w:tcBorders>
              <w:top w:val="single" w:color="auto" w:sz="6" w:space="0"/>
              <w:left w:val="single" w:color="auto" w:sz="6" w:space="0"/>
              <w:bottom w:val="single" w:color="auto" w:sz="4" w:space="0"/>
              <w:right w:val="single" w:color="auto" w:sz="4"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5.04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color w:val="000000"/>
                <w:szCs w:val="21"/>
              </w:rPr>
            </w:pPr>
          </w:p>
        </w:tc>
        <w:tc>
          <w:tcPr>
            <w:tcW w:w="1580"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color w:val="000000"/>
                <w:szCs w:val="21"/>
              </w:rPr>
            </w:pPr>
            <w:r>
              <w:rPr>
                <w:color w:val="000000"/>
                <w:szCs w:val="21"/>
              </w:rPr>
              <w:t>通识选修课</w:t>
            </w:r>
          </w:p>
        </w:tc>
        <w:tc>
          <w:tcPr>
            <w:tcW w:w="1088" w:type="dxa"/>
            <w:tcBorders>
              <w:top w:val="single" w:color="auto" w:sz="4"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8</w:t>
            </w:r>
          </w:p>
        </w:tc>
        <w:tc>
          <w:tcPr>
            <w:tcW w:w="1247" w:type="dxa"/>
            <w:tcBorders>
              <w:top w:val="single" w:color="auto" w:sz="4"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4.75</w:t>
            </w:r>
          </w:p>
        </w:tc>
        <w:tc>
          <w:tcPr>
            <w:tcW w:w="1632" w:type="dxa"/>
            <w:tcBorders>
              <w:top w:val="single" w:color="auto" w:sz="4"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0</w:t>
            </w:r>
          </w:p>
        </w:tc>
        <w:tc>
          <w:tcPr>
            <w:tcW w:w="1650" w:type="dxa"/>
            <w:tcBorders>
              <w:top w:val="single" w:color="auto" w:sz="4" w:space="0"/>
              <w:left w:val="single" w:color="auto" w:sz="6" w:space="0"/>
              <w:bottom w:val="single" w:color="auto" w:sz="4" w:space="0"/>
              <w:right w:val="single" w:color="auto" w:sz="4"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right w:val="single" w:color="auto" w:sz="6" w:space="0"/>
            </w:tcBorders>
            <w:vAlign w:val="center"/>
          </w:tcPr>
          <w:p>
            <w:pPr>
              <w:adjustRightInd w:val="0"/>
              <w:snapToGrid w:val="0"/>
              <w:jc w:val="center"/>
              <w:rPr>
                <w:color w:val="000000"/>
                <w:szCs w:val="21"/>
              </w:rPr>
            </w:pPr>
            <w:r>
              <w:rPr>
                <w:color w:val="000000"/>
                <w:szCs w:val="21"/>
              </w:rPr>
              <w:t>专业教育平台</w:t>
            </w:r>
          </w:p>
        </w:tc>
        <w:tc>
          <w:tcPr>
            <w:tcW w:w="158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color w:val="000000"/>
                <w:szCs w:val="21"/>
              </w:rPr>
            </w:pPr>
            <w:r>
              <w:rPr>
                <w:color w:val="000000"/>
                <w:szCs w:val="21"/>
              </w:rPr>
              <w:t>学科基础课</w:t>
            </w:r>
          </w:p>
        </w:tc>
        <w:tc>
          <w:tcPr>
            <w:tcW w:w="1088"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43</w:t>
            </w:r>
          </w:p>
        </w:tc>
        <w:tc>
          <w:tcPr>
            <w:tcW w:w="1247"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25.52</w:t>
            </w:r>
          </w:p>
        </w:tc>
        <w:tc>
          <w:tcPr>
            <w:tcW w:w="1632"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1.5</w:t>
            </w:r>
          </w:p>
        </w:tc>
        <w:tc>
          <w:tcPr>
            <w:tcW w:w="1650" w:type="dxa"/>
            <w:tcBorders>
              <w:top w:val="single" w:color="auto" w:sz="6" w:space="0"/>
              <w:left w:val="single" w:color="auto" w:sz="6" w:space="0"/>
              <w:bottom w:val="single" w:color="auto" w:sz="4" w:space="0"/>
              <w:right w:val="single" w:color="auto" w:sz="4"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0.89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left w:val="single" w:color="auto" w:sz="4" w:space="0"/>
              <w:right w:val="single" w:color="auto" w:sz="6" w:space="0"/>
            </w:tcBorders>
            <w:vAlign w:val="center"/>
          </w:tcPr>
          <w:p>
            <w:pPr>
              <w:adjustRightInd w:val="0"/>
              <w:snapToGrid w:val="0"/>
              <w:jc w:val="center"/>
              <w:rPr>
                <w:color w:val="000000"/>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color w:val="000000"/>
                <w:szCs w:val="21"/>
              </w:rPr>
            </w:pPr>
            <w:r>
              <w:rPr>
                <w:color w:val="000000"/>
                <w:szCs w:val="21"/>
              </w:rPr>
              <w:t>专业必修课</w:t>
            </w:r>
          </w:p>
        </w:tc>
        <w:tc>
          <w:tcPr>
            <w:tcW w:w="1088" w:type="dxa"/>
            <w:tcBorders>
              <w:top w:val="single" w:color="auto" w:sz="4"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39</w:t>
            </w:r>
          </w:p>
        </w:tc>
        <w:tc>
          <w:tcPr>
            <w:tcW w:w="1247" w:type="dxa"/>
            <w:tcBorders>
              <w:top w:val="single" w:color="auto" w:sz="4"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23.15</w:t>
            </w:r>
          </w:p>
        </w:tc>
        <w:tc>
          <w:tcPr>
            <w:tcW w:w="1632" w:type="dxa"/>
            <w:tcBorders>
              <w:top w:val="single" w:color="auto" w:sz="4"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12</w:t>
            </w:r>
          </w:p>
        </w:tc>
        <w:tc>
          <w:tcPr>
            <w:tcW w:w="1650" w:type="dxa"/>
            <w:tcBorders>
              <w:top w:val="single" w:color="auto" w:sz="4" w:space="0"/>
              <w:left w:val="single" w:color="auto" w:sz="6" w:space="0"/>
              <w:bottom w:val="single" w:color="auto" w:sz="4" w:space="0"/>
              <w:right w:val="single" w:color="auto" w:sz="4"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7.12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left w:val="single" w:color="auto" w:sz="4" w:space="0"/>
              <w:bottom w:val="single" w:color="auto" w:sz="6" w:space="0"/>
              <w:right w:val="single" w:color="auto" w:sz="6" w:space="0"/>
            </w:tcBorders>
            <w:vAlign w:val="center"/>
          </w:tcPr>
          <w:p>
            <w:pPr>
              <w:adjustRightInd w:val="0"/>
              <w:snapToGrid w:val="0"/>
              <w:jc w:val="center"/>
              <w:rPr>
                <w:color w:val="000000"/>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color w:val="000000"/>
                <w:szCs w:val="21"/>
              </w:rPr>
            </w:pPr>
            <w:r>
              <w:rPr>
                <w:color w:val="000000"/>
                <w:szCs w:val="21"/>
              </w:rPr>
              <w:t>专业选修课</w:t>
            </w:r>
          </w:p>
        </w:tc>
        <w:tc>
          <w:tcPr>
            <w:tcW w:w="1088" w:type="dxa"/>
            <w:tcBorders>
              <w:top w:val="single" w:color="auto" w:sz="4" w:space="0"/>
              <w:left w:val="single" w:color="auto" w:sz="6" w:space="0"/>
              <w:bottom w:val="single" w:color="auto" w:sz="6"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8</w:t>
            </w:r>
          </w:p>
        </w:tc>
        <w:tc>
          <w:tcPr>
            <w:tcW w:w="1247" w:type="dxa"/>
            <w:tcBorders>
              <w:top w:val="single" w:color="auto" w:sz="4" w:space="0"/>
              <w:left w:val="single" w:color="auto" w:sz="6" w:space="0"/>
              <w:bottom w:val="single" w:color="auto" w:sz="6"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4.75</w:t>
            </w:r>
          </w:p>
        </w:tc>
        <w:tc>
          <w:tcPr>
            <w:tcW w:w="1632" w:type="dxa"/>
            <w:tcBorders>
              <w:top w:val="single" w:color="auto" w:sz="4" w:space="0"/>
              <w:left w:val="single" w:color="auto" w:sz="6" w:space="0"/>
              <w:bottom w:val="single" w:color="auto" w:sz="6" w:space="0"/>
              <w:right w:val="single" w:color="auto" w:sz="6" w:space="0"/>
            </w:tcBorders>
          </w:tcPr>
          <w:p>
            <w:pPr>
              <w:adjustRightInd w:val="0"/>
              <w:snapToGrid w:val="0"/>
              <w:jc w:val="center"/>
              <w:rPr>
                <w:rFonts w:ascii="Times New Roman" w:hAnsi="Times New Roman"/>
                <w:color w:val="000000"/>
                <w:szCs w:val="21"/>
              </w:rPr>
            </w:pPr>
            <w:r>
              <w:rPr>
                <w:rFonts w:ascii="Times New Roman" w:hAnsi="Times New Roman"/>
                <w:color w:val="000000"/>
                <w:szCs w:val="21"/>
              </w:rPr>
              <w:t>0</w:t>
            </w:r>
          </w:p>
        </w:tc>
        <w:tc>
          <w:tcPr>
            <w:tcW w:w="1650" w:type="dxa"/>
            <w:tcBorders>
              <w:top w:val="single" w:color="auto" w:sz="4" w:space="0"/>
              <w:left w:val="single" w:color="auto" w:sz="6" w:space="0"/>
              <w:bottom w:val="single" w:color="auto" w:sz="6" w:space="0"/>
              <w:right w:val="single" w:color="auto" w:sz="4"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6" w:space="0"/>
              <w:right w:val="single" w:color="auto" w:sz="6" w:space="0"/>
            </w:tcBorders>
            <w:vAlign w:val="center"/>
          </w:tcPr>
          <w:p>
            <w:pPr>
              <w:adjustRightInd w:val="0"/>
              <w:snapToGrid w:val="0"/>
              <w:jc w:val="center"/>
              <w:rPr>
                <w:color w:val="000000"/>
                <w:szCs w:val="21"/>
              </w:rPr>
            </w:pPr>
            <w:r>
              <w:rPr>
                <w:color w:val="000000"/>
                <w:szCs w:val="21"/>
              </w:rPr>
              <w:t>实践教育平台</w:t>
            </w:r>
          </w:p>
        </w:tc>
        <w:tc>
          <w:tcPr>
            <w:tcW w:w="1088"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25</w:t>
            </w:r>
          </w:p>
        </w:tc>
        <w:tc>
          <w:tcPr>
            <w:tcW w:w="1247"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14.84</w:t>
            </w:r>
          </w:p>
        </w:tc>
        <w:tc>
          <w:tcPr>
            <w:tcW w:w="1632" w:type="dxa"/>
            <w:tcBorders>
              <w:top w:val="single" w:color="auto" w:sz="6" w:space="0"/>
              <w:left w:val="single" w:color="auto" w:sz="6" w:space="0"/>
              <w:bottom w:val="single" w:color="auto" w:sz="6" w:space="0"/>
              <w:right w:val="single" w:color="auto" w:sz="6" w:space="0"/>
            </w:tcBorders>
          </w:tcPr>
          <w:p>
            <w:pPr>
              <w:adjustRightInd w:val="0"/>
              <w:snapToGrid w:val="0"/>
              <w:jc w:val="center"/>
              <w:rPr>
                <w:rFonts w:ascii="Times New Roman" w:hAnsi="Times New Roman"/>
                <w:color w:val="000000"/>
                <w:szCs w:val="21"/>
              </w:rPr>
            </w:pPr>
            <w:r>
              <w:rPr>
                <w:rFonts w:ascii="Times New Roman" w:hAnsi="Times New Roman"/>
                <w:color w:val="000000"/>
                <w:szCs w:val="21"/>
              </w:rPr>
              <w:t>25</w:t>
            </w:r>
          </w:p>
        </w:tc>
        <w:tc>
          <w:tcPr>
            <w:tcW w:w="1650" w:type="dxa"/>
            <w:tcBorders>
              <w:top w:val="single" w:color="auto" w:sz="6" w:space="0"/>
              <w:left w:val="single" w:color="auto" w:sz="6" w:space="0"/>
              <w:bottom w:val="single" w:color="auto" w:sz="6" w:space="0"/>
              <w:right w:val="single" w:color="auto" w:sz="4"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14.84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4" w:space="0"/>
              <w:right w:val="single" w:color="auto" w:sz="6" w:space="0"/>
            </w:tcBorders>
            <w:vAlign w:val="center"/>
          </w:tcPr>
          <w:p>
            <w:pPr>
              <w:adjustRightInd w:val="0"/>
              <w:snapToGrid w:val="0"/>
              <w:jc w:val="center"/>
              <w:rPr>
                <w:color w:val="000000"/>
                <w:szCs w:val="21"/>
              </w:rPr>
            </w:pPr>
            <w:r>
              <w:rPr>
                <w:color w:val="000000"/>
                <w:szCs w:val="21"/>
              </w:rPr>
              <w:t>合    计</w:t>
            </w:r>
          </w:p>
        </w:tc>
        <w:tc>
          <w:tcPr>
            <w:tcW w:w="1088"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168.5</w:t>
            </w:r>
          </w:p>
        </w:tc>
        <w:tc>
          <w:tcPr>
            <w:tcW w:w="1247" w:type="dxa"/>
            <w:tcBorders>
              <w:top w:val="single" w:color="auto" w:sz="6" w:space="0"/>
              <w:left w:val="single" w:color="auto" w:sz="6" w:space="0"/>
              <w:bottom w:val="single" w:color="auto" w:sz="4" w:space="0"/>
              <w:right w:val="single" w:color="auto" w:sz="6"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100</w:t>
            </w:r>
          </w:p>
        </w:tc>
        <w:tc>
          <w:tcPr>
            <w:tcW w:w="1632" w:type="dxa"/>
            <w:tcBorders>
              <w:top w:val="single" w:color="auto" w:sz="6" w:space="0"/>
              <w:left w:val="single" w:color="auto" w:sz="6" w:space="0"/>
              <w:bottom w:val="single" w:color="auto" w:sz="4" w:space="0"/>
              <w:right w:val="single" w:color="auto" w:sz="6" w:space="0"/>
            </w:tcBorders>
          </w:tcPr>
          <w:p>
            <w:pPr>
              <w:adjustRightInd w:val="0"/>
              <w:snapToGrid w:val="0"/>
              <w:jc w:val="center"/>
              <w:rPr>
                <w:rFonts w:ascii="Times New Roman" w:hAnsi="Times New Roman"/>
                <w:color w:val="000000"/>
                <w:szCs w:val="21"/>
              </w:rPr>
            </w:pPr>
            <w:r>
              <w:rPr>
                <w:rFonts w:ascii="Times New Roman" w:hAnsi="Times New Roman"/>
                <w:color w:val="000000"/>
                <w:szCs w:val="21"/>
              </w:rPr>
              <w:t>47</w:t>
            </w:r>
          </w:p>
        </w:tc>
        <w:tc>
          <w:tcPr>
            <w:tcW w:w="1650" w:type="dxa"/>
            <w:tcBorders>
              <w:top w:val="single" w:color="auto" w:sz="6" w:space="0"/>
              <w:left w:val="single" w:color="auto" w:sz="6" w:space="0"/>
              <w:bottom w:val="single" w:color="auto" w:sz="4" w:space="0"/>
              <w:right w:val="single" w:color="auto" w:sz="4" w:space="0"/>
            </w:tcBorders>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27.89</w:t>
            </w:r>
          </w:p>
        </w:tc>
      </w:tr>
    </w:tbl>
    <w:p>
      <w:pPr>
        <w:adjustRightInd w:val="0"/>
        <w:snapToGrid w:val="0"/>
        <w:spacing w:before="156" w:beforeLines="50" w:line="324" w:lineRule="auto"/>
        <w:jc w:val="center"/>
        <w:rPr>
          <w:color w:val="000000"/>
          <w:sz w:val="24"/>
        </w:rPr>
      </w:pPr>
    </w:p>
    <w:p>
      <w:pPr>
        <w:adjustRightInd w:val="0"/>
        <w:snapToGrid w:val="0"/>
        <w:spacing w:before="156" w:beforeLines="50" w:line="324" w:lineRule="auto"/>
        <w:jc w:val="center"/>
        <w:rPr>
          <w:b/>
          <w:color w:val="000000"/>
          <w:sz w:val="24"/>
        </w:rPr>
      </w:pPr>
      <w:r>
        <w:rPr>
          <w:b/>
          <w:color w:val="000000"/>
          <w:sz w:val="24"/>
        </w:rPr>
        <w:t>材料科学与工程专业按学期教学情况汇总表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8"/>
        <w:gridCol w:w="878"/>
        <w:gridCol w:w="877"/>
        <w:gridCol w:w="877"/>
        <w:gridCol w:w="878"/>
        <w:gridCol w:w="877"/>
        <w:gridCol w:w="877"/>
        <w:gridCol w:w="878"/>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adjustRightInd w:val="0"/>
              <w:snapToGrid w:val="0"/>
              <w:spacing w:line="400" w:lineRule="exact"/>
              <w:jc w:val="center"/>
              <w:rPr>
                <w:color w:val="000000"/>
                <w:szCs w:val="21"/>
              </w:rPr>
            </w:pPr>
            <w:r>
              <w:rPr>
                <w:color w:val="000000"/>
                <w:szCs w:val="21"/>
              </w:rPr>
              <w:t>学期</w:t>
            </w:r>
          </w:p>
        </w:tc>
        <w:tc>
          <w:tcPr>
            <w:tcW w:w="878" w:type="dxa"/>
            <w:vAlign w:val="center"/>
          </w:tcPr>
          <w:p>
            <w:pPr>
              <w:adjustRightInd w:val="0"/>
              <w:snapToGrid w:val="0"/>
              <w:spacing w:line="400" w:lineRule="exact"/>
              <w:jc w:val="center"/>
              <w:rPr>
                <w:color w:val="000000"/>
                <w:szCs w:val="21"/>
              </w:rPr>
            </w:pPr>
            <w:r>
              <w:rPr>
                <w:color w:val="000000"/>
                <w:szCs w:val="21"/>
              </w:rPr>
              <w:t>一</w:t>
            </w:r>
          </w:p>
        </w:tc>
        <w:tc>
          <w:tcPr>
            <w:tcW w:w="877" w:type="dxa"/>
            <w:vAlign w:val="center"/>
          </w:tcPr>
          <w:p>
            <w:pPr>
              <w:adjustRightInd w:val="0"/>
              <w:snapToGrid w:val="0"/>
              <w:spacing w:line="400" w:lineRule="exact"/>
              <w:jc w:val="center"/>
              <w:rPr>
                <w:color w:val="000000"/>
                <w:szCs w:val="21"/>
              </w:rPr>
            </w:pPr>
            <w:r>
              <w:rPr>
                <w:color w:val="000000"/>
                <w:szCs w:val="21"/>
              </w:rPr>
              <w:t>二</w:t>
            </w:r>
          </w:p>
        </w:tc>
        <w:tc>
          <w:tcPr>
            <w:tcW w:w="877" w:type="dxa"/>
            <w:vAlign w:val="center"/>
          </w:tcPr>
          <w:p>
            <w:pPr>
              <w:adjustRightInd w:val="0"/>
              <w:snapToGrid w:val="0"/>
              <w:spacing w:line="400" w:lineRule="exact"/>
              <w:jc w:val="center"/>
              <w:rPr>
                <w:color w:val="000000"/>
                <w:szCs w:val="21"/>
              </w:rPr>
            </w:pPr>
            <w:r>
              <w:rPr>
                <w:color w:val="000000"/>
                <w:szCs w:val="21"/>
              </w:rPr>
              <w:t>三</w:t>
            </w:r>
          </w:p>
        </w:tc>
        <w:tc>
          <w:tcPr>
            <w:tcW w:w="878" w:type="dxa"/>
            <w:vAlign w:val="center"/>
          </w:tcPr>
          <w:p>
            <w:pPr>
              <w:adjustRightInd w:val="0"/>
              <w:snapToGrid w:val="0"/>
              <w:spacing w:line="400" w:lineRule="exact"/>
              <w:jc w:val="center"/>
              <w:rPr>
                <w:color w:val="000000"/>
                <w:szCs w:val="21"/>
              </w:rPr>
            </w:pPr>
            <w:r>
              <w:rPr>
                <w:color w:val="000000"/>
                <w:szCs w:val="21"/>
              </w:rPr>
              <w:t>四</w:t>
            </w:r>
          </w:p>
        </w:tc>
        <w:tc>
          <w:tcPr>
            <w:tcW w:w="877" w:type="dxa"/>
            <w:vAlign w:val="center"/>
          </w:tcPr>
          <w:p>
            <w:pPr>
              <w:adjustRightInd w:val="0"/>
              <w:snapToGrid w:val="0"/>
              <w:spacing w:line="400" w:lineRule="exact"/>
              <w:jc w:val="center"/>
              <w:rPr>
                <w:color w:val="000000"/>
                <w:szCs w:val="21"/>
              </w:rPr>
            </w:pPr>
            <w:r>
              <w:rPr>
                <w:color w:val="000000"/>
                <w:szCs w:val="21"/>
              </w:rPr>
              <w:t>五</w:t>
            </w:r>
          </w:p>
        </w:tc>
        <w:tc>
          <w:tcPr>
            <w:tcW w:w="877" w:type="dxa"/>
            <w:vAlign w:val="center"/>
          </w:tcPr>
          <w:p>
            <w:pPr>
              <w:adjustRightInd w:val="0"/>
              <w:snapToGrid w:val="0"/>
              <w:spacing w:line="400" w:lineRule="exact"/>
              <w:jc w:val="center"/>
              <w:rPr>
                <w:color w:val="000000"/>
                <w:szCs w:val="21"/>
              </w:rPr>
            </w:pPr>
            <w:r>
              <w:rPr>
                <w:color w:val="000000"/>
                <w:szCs w:val="21"/>
              </w:rPr>
              <w:t>六</w:t>
            </w:r>
          </w:p>
        </w:tc>
        <w:tc>
          <w:tcPr>
            <w:tcW w:w="878" w:type="dxa"/>
            <w:vAlign w:val="center"/>
          </w:tcPr>
          <w:p>
            <w:pPr>
              <w:adjustRightInd w:val="0"/>
              <w:snapToGrid w:val="0"/>
              <w:spacing w:line="400" w:lineRule="exact"/>
              <w:jc w:val="center"/>
              <w:rPr>
                <w:color w:val="000000"/>
                <w:szCs w:val="21"/>
              </w:rPr>
            </w:pPr>
            <w:r>
              <w:rPr>
                <w:color w:val="000000"/>
                <w:szCs w:val="21"/>
              </w:rPr>
              <w:t>七</w:t>
            </w:r>
          </w:p>
        </w:tc>
        <w:tc>
          <w:tcPr>
            <w:tcW w:w="877" w:type="dxa"/>
            <w:vAlign w:val="center"/>
          </w:tcPr>
          <w:p>
            <w:pPr>
              <w:adjustRightInd w:val="0"/>
              <w:snapToGrid w:val="0"/>
              <w:spacing w:line="400" w:lineRule="exact"/>
              <w:jc w:val="center"/>
              <w:rPr>
                <w:color w:val="000000"/>
                <w:szCs w:val="21"/>
              </w:rPr>
            </w:pPr>
            <w:r>
              <w:rPr>
                <w:color w:val="000000"/>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adjustRightInd w:val="0"/>
              <w:snapToGrid w:val="0"/>
              <w:spacing w:line="400" w:lineRule="exact"/>
              <w:jc w:val="center"/>
              <w:rPr>
                <w:color w:val="000000"/>
                <w:szCs w:val="21"/>
              </w:rPr>
            </w:pPr>
            <w:r>
              <w:rPr>
                <w:color w:val="000000"/>
                <w:szCs w:val="21"/>
              </w:rPr>
              <w:t>教学总周数</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adjustRightInd w:val="0"/>
              <w:snapToGrid w:val="0"/>
              <w:spacing w:line="400" w:lineRule="exact"/>
              <w:jc w:val="center"/>
              <w:rPr>
                <w:color w:val="000000"/>
                <w:szCs w:val="21"/>
              </w:rPr>
            </w:pPr>
            <w:r>
              <w:rPr>
                <w:color w:val="000000"/>
                <w:szCs w:val="21"/>
              </w:rPr>
              <w:t>节假日及考试</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adjustRightInd w:val="0"/>
              <w:snapToGrid w:val="0"/>
              <w:spacing w:line="400" w:lineRule="exact"/>
              <w:jc w:val="center"/>
              <w:rPr>
                <w:color w:val="000000"/>
                <w:szCs w:val="21"/>
              </w:rPr>
            </w:pPr>
            <w:r>
              <w:rPr>
                <w:color w:val="000000"/>
                <w:szCs w:val="21"/>
              </w:rPr>
              <w:t>集中实践周数</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0</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adjustRightInd w:val="0"/>
              <w:snapToGrid w:val="0"/>
              <w:spacing w:line="400" w:lineRule="exact"/>
              <w:jc w:val="center"/>
              <w:rPr>
                <w:color w:val="000000"/>
                <w:szCs w:val="21"/>
              </w:rPr>
            </w:pPr>
            <w:r>
              <w:rPr>
                <w:color w:val="000000"/>
                <w:szCs w:val="21"/>
              </w:rPr>
              <w:t>课内教学周数</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768" w:type="dxa"/>
            <w:vAlign w:val="center"/>
          </w:tcPr>
          <w:p>
            <w:pPr>
              <w:adjustRightInd w:val="0"/>
              <w:snapToGrid w:val="0"/>
              <w:spacing w:line="400" w:lineRule="exact"/>
              <w:jc w:val="center"/>
              <w:rPr>
                <w:color w:val="000000"/>
                <w:szCs w:val="21"/>
              </w:rPr>
            </w:pPr>
            <w:r>
              <w:rPr>
                <w:color w:val="000000"/>
                <w:szCs w:val="21"/>
              </w:rPr>
              <w:t>理论教学学分</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20</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22.5</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19</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21.5</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11</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7</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3</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adjustRightInd w:val="0"/>
              <w:snapToGrid w:val="0"/>
              <w:spacing w:line="400" w:lineRule="exact"/>
              <w:jc w:val="center"/>
              <w:rPr>
                <w:strike/>
                <w:color w:val="000000"/>
                <w:szCs w:val="21"/>
              </w:rPr>
            </w:pPr>
            <w:r>
              <w:rPr>
                <w:color w:val="000000"/>
                <w:szCs w:val="21"/>
              </w:rPr>
              <w:t>课内实践学分</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4</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3</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5</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3.5</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2.5</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4.5</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adjustRightInd w:val="0"/>
              <w:snapToGrid w:val="0"/>
              <w:spacing w:line="400" w:lineRule="exact"/>
              <w:jc w:val="center"/>
              <w:rPr>
                <w:color w:val="000000"/>
                <w:szCs w:val="21"/>
              </w:rPr>
            </w:pPr>
            <w:r>
              <w:rPr>
                <w:color w:val="000000"/>
                <w:szCs w:val="21"/>
              </w:rPr>
              <w:t>课内周学时</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31</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28</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27</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11</w:t>
            </w:r>
          </w:p>
        </w:tc>
        <w:tc>
          <w:tcPr>
            <w:tcW w:w="878"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4</w:t>
            </w:r>
          </w:p>
        </w:tc>
        <w:tc>
          <w:tcPr>
            <w:tcW w:w="877" w:type="dxa"/>
            <w:vAlign w:val="center"/>
          </w:tcPr>
          <w:p>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0</w:t>
            </w:r>
          </w:p>
        </w:tc>
      </w:tr>
    </w:tbl>
    <w:p>
      <w:pPr>
        <w:adjustRightInd w:val="0"/>
        <w:snapToGrid w:val="0"/>
        <w:rPr>
          <w:color w:val="000000"/>
        </w:rPr>
        <w:sectPr>
          <w:footerReference r:id="rId3" w:type="default"/>
          <w:pgSz w:w="11906" w:h="16838"/>
          <w:pgMar w:top="1417" w:right="1417" w:bottom="1417" w:left="1417" w:header="851" w:footer="992" w:gutter="0"/>
          <w:pgNumType w:fmt="upperRoman" w:start="1"/>
          <w:cols w:space="720" w:num="1"/>
          <w:docGrid w:type="lines" w:linePitch="312" w:charSpace="0"/>
        </w:sectPr>
      </w:pPr>
      <w:r>
        <w:rPr>
          <w:color w:val="000000"/>
        </w:rPr>
        <w:t xml:space="preserve">  </w:t>
      </w: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pPr>
    </w:p>
    <w:p>
      <w:pPr>
        <w:adjustRightInd w:val="0"/>
        <w:snapToGrid w:val="0"/>
        <w:rPr>
          <w:color w:val="000000"/>
        </w:rPr>
        <w:sectPr>
          <w:footerReference r:id="rId4" w:type="default"/>
          <w:type w:val="continuous"/>
          <w:pgSz w:w="11906" w:h="16838"/>
          <w:pgMar w:top="1417" w:right="1417" w:bottom="1417" w:left="1417" w:header="851" w:footer="992" w:gutter="0"/>
          <w:cols w:space="720" w:num="1"/>
          <w:docGrid w:type="lines" w:linePitch="312" w:charSpace="0"/>
        </w:sectPr>
      </w:pPr>
    </w:p>
    <w:p>
      <w:pPr>
        <w:adjustRightInd w:val="0"/>
        <w:snapToGrid w:val="0"/>
        <w:spacing w:line="400" w:lineRule="exact"/>
        <w:rPr>
          <w:rFonts w:ascii="Times New Roman" w:hAnsi="Times New Roman"/>
          <w:b/>
          <w:bCs/>
          <w:color w:val="000000"/>
          <w:sz w:val="24"/>
        </w:rPr>
        <w:sectPr>
          <w:footerReference r:id="rId5" w:type="default"/>
          <w:type w:val="continuous"/>
          <w:pgSz w:w="16838" w:h="11906" w:orient="landscape"/>
          <w:pgMar w:top="1417" w:right="1417" w:bottom="1417" w:left="1417" w:header="851" w:footer="992" w:gutter="0"/>
          <w:cols w:space="720" w:num="1"/>
          <w:docGrid w:type="lines" w:linePitch="312" w:charSpace="0"/>
        </w:sectPr>
      </w:pPr>
      <w:r>
        <w:drawing>
          <wp:anchor distT="0" distB="0" distL="0" distR="0" simplePos="0" relativeHeight="251658240" behindDoc="1" locked="0" layoutInCell="1" allowOverlap="1">
            <wp:simplePos x="0" y="0"/>
            <wp:positionH relativeFrom="column">
              <wp:posOffset>390525</wp:posOffset>
            </wp:positionH>
            <wp:positionV relativeFrom="paragraph">
              <wp:posOffset>444500</wp:posOffset>
            </wp:positionV>
            <wp:extent cx="8952865" cy="5400675"/>
            <wp:effectExtent l="0" t="0" r="63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8952865" cy="5400675"/>
                    </a:xfrm>
                    <a:prstGeom prst="rect">
                      <a:avLst/>
                    </a:prstGeom>
                    <a:noFill/>
                    <a:ln>
                      <a:noFill/>
                    </a:ln>
                  </pic:spPr>
                </pic:pic>
              </a:graphicData>
            </a:graphic>
          </wp:anchor>
        </w:drawing>
      </w:r>
      <w:r>
        <w:rPr>
          <w:rFonts w:hint="eastAsia"/>
          <w:color w:val="000000"/>
        </w:rPr>
        <w:t>九、</w:t>
      </w:r>
      <w:r>
        <w:rPr>
          <w:color w:val="000000"/>
        </w:rPr>
        <w:t>课程结构拓扑图</w:t>
      </w:r>
    </w:p>
    <w:p>
      <w:pPr>
        <w:adjustRightInd w:val="0"/>
        <w:snapToGrid w:val="0"/>
        <w:spacing w:before="156" w:beforeLines="50" w:line="324" w:lineRule="auto"/>
        <w:ind w:firstLine="482" w:firstLineChars="200"/>
        <w:rPr>
          <w:b/>
          <w:bCs/>
          <w:color w:val="000000"/>
          <w:sz w:val="24"/>
        </w:rPr>
      </w:pPr>
      <w:r>
        <w:rPr>
          <w:rFonts w:hint="eastAsia"/>
          <w:b/>
          <w:bCs/>
          <w:color w:val="000000"/>
          <w:sz w:val="24"/>
        </w:rPr>
        <w:t>十</w:t>
      </w:r>
      <w:r>
        <w:rPr>
          <w:b/>
          <w:bCs/>
          <w:color w:val="000000"/>
          <w:sz w:val="24"/>
        </w:rPr>
        <w:t>、课程与毕业要求关系矩阵图（毕业要求与之对应高度相关的课程，每项要求建议关联3-5门课程）</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1"/>
        <w:gridCol w:w="907"/>
        <w:gridCol w:w="907"/>
        <w:gridCol w:w="1093"/>
        <w:gridCol w:w="690"/>
        <w:gridCol w:w="960"/>
        <w:gridCol w:w="920"/>
        <w:gridCol w:w="1130"/>
        <w:gridCol w:w="870"/>
        <w:gridCol w:w="850"/>
        <w:gridCol w:w="743"/>
        <w:gridCol w:w="90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961" w:type="dxa"/>
            <w:tcBorders>
              <w:tl2br w:val="single" w:color="auto" w:sz="4" w:space="0"/>
            </w:tcBorders>
            <w:shd w:val="clear" w:color="auto" w:fill="D7D7D7"/>
            <w:vAlign w:val="center"/>
          </w:tcPr>
          <w:p>
            <w:pPr>
              <w:widowControl/>
              <w:adjustRightInd w:val="0"/>
              <w:snapToGrid w:val="0"/>
              <w:jc w:val="center"/>
              <w:rPr>
                <w:rFonts w:eastAsia="黑体"/>
                <w:bCs/>
                <w:color w:val="000000"/>
                <w:kern w:val="0"/>
                <w:szCs w:val="21"/>
              </w:rPr>
            </w:pPr>
            <w:r>
              <w:rPr>
                <w:rFonts w:eastAsia="黑体"/>
                <w:bCs/>
                <w:color w:val="000000"/>
                <w:kern w:val="0"/>
                <w:szCs w:val="21"/>
              </w:rPr>
              <w:t xml:space="preserve">         能力</w:t>
            </w:r>
          </w:p>
          <w:p>
            <w:pPr>
              <w:widowControl/>
              <w:adjustRightInd w:val="0"/>
              <w:snapToGrid w:val="0"/>
              <w:rPr>
                <w:rFonts w:eastAsia="黑体"/>
                <w:bCs/>
                <w:color w:val="000000"/>
                <w:kern w:val="0"/>
                <w:szCs w:val="21"/>
              </w:rPr>
            </w:pPr>
            <w:r>
              <w:rPr>
                <w:rFonts w:eastAsia="黑体"/>
                <w:bCs/>
                <w:color w:val="000000"/>
                <w:kern w:val="0"/>
                <w:szCs w:val="21"/>
              </w:rPr>
              <w:t>课程</w:t>
            </w:r>
          </w:p>
        </w:tc>
        <w:tc>
          <w:tcPr>
            <w:tcW w:w="907" w:type="dxa"/>
            <w:shd w:val="clear" w:color="auto" w:fill="D7D7D7"/>
            <w:tcMar>
              <w:left w:w="28" w:type="dxa"/>
              <w:right w:w="28" w:type="dxa"/>
            </w:tcMar>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工程知识</w:t>
            </w:r>
            <w:r>
              <w:rPr>
                <w:rFonts w:eastAsia="黑体"/>
                <w:bCs/>
                <w:color w:val="000000"/>
                <w:kern w:val="0"/>
                <w:szCs w:val="21"/>
              </w:rPr>
              <w:br w:type="textWrapping"/>
            </w:r>
            <w:r>
              <w:rPr>
                <w:rFonts w:eastAsia="黑体"/>
                <w:bCs/>
                <w:color w:val="000000"/>
                <w:kern w:val="0"/>
                <w:szCs w:val="21"/>
              </w:rPr>
              <w:t>1</w:t>
            </w:r>
          </w:p>
        </w:tc>
        <w:tc>
          <w:tcPr>
            <w:tcW w:w="907" w:type="dxa"/>
            <w:shd w:val="clear" w:color="auto" w:fill="D7D7D7"/>
            <w:tcMar>
              <w:left w:w="28" w:type="dxa"/>
              <w:right w:w="28" w:type="dxa"/>
            </w:tcMar>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问题分析</w:t>
            </w:r>
            <w:r>
              <w:rPr>
                <w:rFonts w:eastAsia="黑体"/>
                <w:bCs/>
                <w:color w:val="000000"/>
                <w:kern w:val="0"/>
                <w:szCs w:val="21"/>
              </w:rPr>
              <w:br w:type="textWrapping"/>
            </w:r>
            <w:r>
              <w:rPr>
                <w:rFonts w:eastAsia="黑体"/>
                <w:bCs/>
                <w:color w:val="000000"/>
                <w:kern w:val="0"/>
                <w:szCs w:val="21"/>
              </w:rPr>
              <w:t>2</w:t>
            </w:r>
          </w:p>
        </w:tc>
        <w:tc>
          <w:tcPr>
            <w:tcW w:w="1093" w:type="dxa"/>
            <w:shd w:val="clear" w:color="auto" w:fill="D7D7D7"/>
            <w:tcMar>
              <w:left w:w="28" w:type="dxa"/>
              <w:right w:w="28" w:type="dxa"/>
            </w:tcMar>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设计/开发</w:t>
            </w:r>
          </w:p>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解决方案</w:t>
            </w:r>
            <w:r>
              <w:rPr>
                <w:rFonts w:eastAsia="黑体"/>
                <w:bCs/>
                <w:color w:val="000000"/>
                <w:kern w:val="0"/>
                <w:szCs w:val="21"/>
              </w:rPr>
              <w:t>3</w:t>
            </w:r>
          </w:p>
        </w:tc>
        <w:tc>
          <w:tcPr>
            <w:tcW w:w="690" w:type="dxa"/>
            <w:shd w:val="clear" w:color="auto" w:fill="D7D7D7"/>
            <w:tcMar>
              <w:left w:w="28" w:type="dxa"/>
              <w:right w:w="28" w:type="dxa"/>
            </w:tcMar>
            <w:vAlign w:val="center"/>
          </w:tcPr>
          <w:p>
            <w:pPr>
              <w:widowControl/>
              <w:adjustRightInd w:val="0"/>
              <w:snapToGrid w:val="0"/>
              <w:ind w:left="-34" w:leftChars="-16" w:right="-105" w:rightChars="-50"/>
              <w:jc w:val="center"/>
              <w:rPr>
                <w:rFonts w:eastAsia="黑体"/>
                <w:bCs/>
                <w:color w:val="000000"/>
                <w:kern w:val="0"/>
                <w:szCs w:val="21"/>
              </w:rPr>
            </w:pPr>
            <w:r>
              <w:rPr>
                <w:rFonts w:hint="eastAsia" w:eastAsia="黑体"/>
                <w:bCs/>
                <w:color w:val="000000"/>
                <w:kern w:val="0"/>
                <w:szCs w:val="21"/>
              </w:rPr>
              <w:t>研究</w:t>
            </w:r>
          </w:p>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4</w:t>
            </w:r>
          </w:p>
        </w:tc>
        <w:tc>
          <w:tcPr>
            <w:tcW w:w="960" w:type="dxa"/>
            <w:shd w:val="clear" w:color="auto" w:fill="D7D7D7"/>
            <w:tcMar>
              <w:left w:w="28" w:type="dxa"/>
              <w:right w:w="28" w:type="dxa"/>
            </w:tcMar>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使用现代</w:t>
            </w:r>
          </w:p>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工具</w:t>
            </w:r>
            <w:r>
              <w:rPr>
                <w:rFonts w:eastAsia="黑体"/>
                <w:bCs/>
                <w:color w:val="000000"/>
                <w:kern w:val="0"/>
                <w:szCs w:val="21"/>
              </w:rPr>
              <w:t>5</w:t>
            </w:r>
          </w:p>
        </w:tc>
        <w:tc>
          <w:tcPr>
            <w:tcW w:w="920" w:type="dxa"/>
            <w:shd w:val="clear" w:color="auto" w:fill="D7D7D7"/>
            <w:tcMar>
              <w:left w:w="28" w:type="dxa"/>
              <w:right w:w="28" w:type="dxa"/>
            </w:tcMar>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工程与</w:t>
            </w:r>
          </w:p>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社会</w:t>
            </w:r>
            <w:r>
              <w:rPr>
                <w:rFonts w:eastAsia="黑体"/>
                <w:bCs/>
                <w:color w:val="000000"/>
                <w:kern w:val="0"/>
                <w:szCs w:val="21"/>
              </w:rPr>
              <w:t>6</w:t>
            </w:r>
          </w:p>
        </w:tc>
        <w:tc>
          <w:tcPr>
            <w:tcW w:w="1130" w:type="dxa"/>
            <w:shd w:val="clear" w:color="auto" w:fill="D7D7D7"/>
            <w:tcMar>
              <w:left w:w="28" w:type="dxa"/>
              <w:right w:w="28" w:type="dxa"/>
            </w:tcMar>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环境和可</w:t>
            </w:r>
          </w:p>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持续发展</w:t>
            </w:r>
            <w:r>
              <w:rPr>
                <w:rFonts w:eastAsia="黑体"/>
                <w:bCs/>
                <w:color w:val="000000"/>
                <w:kern w:val="0"/>
                <w:szCs w:val="21"/>
              </w:rPr>
              <w:t>7</w:t>
            </w:r>
          </w:p>
        </w:tc>
        <w:tc>
          <w:tcPr>
            <w:tcW w:w="870" w:type="dxa"/>
            <w:shd w:val="clear" w:color="auto" w:fill="D7D7D7"/>
            <w:tcMar>
              <w:left w:w="28" w:type="dxa"/>
              <w:right w:w="28" w:type="dxa"/>
            </w:tcMar>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职业规范</w:t>
            </w:r>
          </w:p>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8</w:t>
            </w:r>
          </w:p>
        </w:tc>
        <w:tc>
          <w:tcPr>
            <w:tcW w:w="850" w:type="dxa"/>
            <w:shd w:val="clear" w:color="auto" w:fill="D7D7D7"/>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个人和</w:t>
            </w:r>
          </w:p>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团队9</w:t>
            </w:r>
          </w:p>
        </w:tc>
        <w:tc>
          <w:tcPr>
            <w:tcW w:w="743" w:type="dxa"/>
            <w:shd w:val="clear" w:color="auto" w:fill="D7D7D7"/>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沟通</w:t>
            </w:r>
          </w:p>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10</w:t>
            </w:r>
          </w:p>
        </w:tc>
        <w:tc>
          <w:tcPr>
            <w:tcW w:w="907" w:type="dxa"/>
            <w:shd w:val="clear" w:color="auto" w:fill="D7D7D7"/>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项目管理11</w:t>
            </w:r>
          </w:p>
        </w:tc>
        <w:tc>
          <w:tcPr>
            <w:tcW w:w="907" w:type="dxa"/>
            <w:shd w:val="clear" w:color="auto" w:fill="D7D7D7"/>
            <w:tcMar>
              <w:left w:w="28" w:type="dxa"/>
              <w:right w:w="28" w:type="dxa"/>
            </w:tcMa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终身学习12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bCs/>
                <w:color w:val="000000"/>
                <w:kern w:val="0"/>
                <w:szCs w:val="21"/>
              </w:rPr>
            </w:pPr>
            <w:r>
              <w:rPr>
                <w:rStyle w:val="53"/>
                <w:rFonts w:hint="default" w:ascii="Times New Roman" w:hAnsi="Times New Roman" w:cs="Times New Roman"/>
                <w:sz w:val="21"/>
                <w:szCs w:val="21"/>
                <w:lang w:bidi="ar"/>
              </w:rPr>
              <w:t>马克思主义基本原理概论</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961" w:type="dxa"/>
            <w:shd w:val="clear" w:color="auto" w:fill="auto"/>
            <w:vAlign w:val="center"/>
          </w:tcPr>
          <w:p>
            <w:pPr>
              <w:widowControl/>
              <w:adjustRightInd w:val="0"/>
              <w:snapToGrid w:val="0"/>
              <w:jc w:val="center"/>
              <w:textAlignment w:val="center"/>
              <w:rPr>
                <w:bCs/>
                <w:color w:val="000000"/>
                <w:kern w:val="0"/>
                <w:szCs w:val="21"/>
              </w:rPr>
            </w:pPr>
            <w:r>
              <w:rPr>
                <w:color w:val="000000"/>
                <w:kern w:val="0"/>
                <w:szCs w:val="21"/>
                <w:lang w:bidi="ar"/>
              </w:rPr>
              <w:t>信息技术及</w:t>
            </w:r>
            <w:r>
              <w:rPr>
                <w:rStyle w:val="41"/>
                <w:sz w:val="21"/>
                <w:szCs w:val="21"/>
                <w:lang w:bidi="ar"/>
              </w:rPr>
              <w:t>Java</w:t>
            </w:r>
            <w:r>
              <w:rPr>
                <w:color w:val="000000"/>
                <w:kern w:val="0"/>
                <w:szCs w:val="21"/>
                <w:lang w:bidi="ar"/>
              </w:rPr>
              <w:t>程序设计</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bCs/>
                <w:color w:val="000000"/>
                <w:kern w:val="0"/>
                <w:szCs w:val="21"/>
              </w:rPr>
            </w:pPr>
            <w:r>
              <w:rPr>
                <w:color w:val="000000"/>
                <w:kern w:val="0"/>
                <w:szCs w:val="21"/>
                <w:lang w:bidi="ar"/>
              </w:rPr>
              <w:t>军事理论</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bCs/>
                <w:color w:val="000000"/>
                <w:kern w:val="0"/>
                <w:szCs w:val="21"/>
              </w:rPr>
            </w:pPr>
            <w:r>
              <w:rPr>
                <w:color w:val="000000"/>
                <w:kern w:val="0"/>
                <w:szCs w:val="21"/>
                <w:lang w:bidi="ar"/>
              </w:rPr>
              <w:t>大学生心理健康教育</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61" w:type="dxa"/>
            <w:shd w:val="clear" w:color="auto" w:fill="auto"/>
            <w:vAlign w:val="center"/>
          </w:tcPr>
          <w:p>
            <w:pPr>
              <w:widowControl/>
              <w:adjustRightInd w:val="0"/>
              <w:snapToGrid w:val="0"/>
              <w:jc w:val="center"/>
              <w:textAlignment w:val="center"/>
              <w:rPr>
                <w:bCs/>
                <w:color w:val="000000"/>
                <w:kern w:val="0"/>
                <w:szCs w:val="21"/>
              </w:rPr>
            </w:pPr>
            <w:r>
              <w:rPr>
                <w:color w:val="000000"/>
                <w:kern w:val="0"/>
                <w:szCs w:val="21"/>
                <w:lang w:bidi="ar"/>
              </w:rPr>
              <w:t>大学生职业</w:t>
            </w:r>
            <w:r>
              <w:rPr>
                <w:rFonts w:hint="eastAsia"/>
                <w:color w:val="000000"/>
                <w:kern w:val="0"/>
                <w:szCs w:val="21"/>
                <w:lang w:bidi="ar"/>
              </w:rPr>
              <w:t>规划教育</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rFonts w:hint="eastAsia"/>
                <w:color w:val="000000"/>
                <w:kern w:val="0"/>
                <w:szCs w:val="21"/>
                <w:lang w:bidi="ar"/>
              </w:rPr>
              <w:t>大学生就业指导教育</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bCs/>
                <w:color w:val="000000"/>
                <w:kern w:val="0"/>
                <w:szCs w:val="21"/>
              </w:rPr>
            </w:pPr>
            <w:r>
              <w:rPr>
                <w:color w:val="000000"/>
                <w:kern w:val="0"/>
                <w:szCs w:val="21"/>
                <w:lang w:bidi="ar"/>
              </w:rPr>
              <w:t>大学英语A(Ⅰ, II, III, IV)</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rFonts w:eastAsia="黑体"/>
                <w:bCs/>
                <w:color w:val="000000"/>
                <w:kern w:val="0"/>
                <w:szCs w:val="21"/>
              </w:rPr>
            </w:pPr>
            <w:r>
              <w:rPr>
                <w:color w:val="000000"/>
                <w:kern w:val="0"/>
                <w:szCs w:val="21"/>
                <w:lang w:bidi="ar"/>
              </w:rPr>
              <w:t>大学体育(Ⅰ, II, III, IV)</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rFonts w:eastAsia="黑体"/>
                <w:bCs/>
                <w:color w:val="000000"/>
                <w:kern w:val="0"/>
                <w:szCs w:val="21"/>
              </w:rPr>
            </w:pPr>
            <w:r>
              <w:rPr>
                <w:color w:val="000000"/>
                <w:kern w:val="0"/>
                <w:szCs w:val="21"/>
                <w:lang w:bidi="ar"/>
              </w:rPr>
              <w:t>思想道德修养与法律基础</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r>
              <w:rPr>
                <w:rFonts w:hint="eastAsia" w:eastAsia="黑体"/>
                <w:bCs/>
                <w:color w:val="000000"/>
                <w:kern w:val="0"/>
                <w:szCs w:val="21"/>
              </w:rPr>
              <w:t>H</w:t>
            </w: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rFonts w:eastAsia="黑体"/>
                <w:bCs/>
                <w:color w:val="000000"/>
                <w:kern w:val="0"/>
                <w:szCs w:val="21"/>
              </w:rPr>
            </w:pPr>
            <w:r>
              <w:rPr>
                <w:color w:val="000000"/>
                <w:kern w:val="0"/>
                <w:szCs w:val="21"/>
                <w:lang w:bidi="ar"/>
              </w:rPr>
              <w:t>工程伦理</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rFonts w:eastAsia="黑体"/>
                <w:bCs/>
                <w:color w:val="000000"/>
                <w:kern w:val="0"/>
                <w:szCs w:val="21"/>
              </w:rPr>
            </w:pPr>
            <w:r>
              <w:rPr>
                <w:rFonts w:hint="eastAsia"/>
                <w:color w:val="000000"/>
                <w:kern w:val="0"/>
                <w:szCs w:val="21"/>
                <w:lang w:bidi="ar"/>
              </w:rPr>
              <w:t>应用文写作与创意写作</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rFonts w:eastAsia="黑体"/>
                <w:bCs/>
                <w:color w:val="000000"/>
                <w:kern w:val="0"/>
                <w:szCs w:val="21"/>
              </w:rPr>
            </w:pPr>
            <w:r>
              <w:rPr>
                <w:color w:val="000000"/>
                <w:kern w:val="0"/>
                <w:szCs w:val="21"/>
                <w:lang w:bidi="ar"/>
              </w:rPr>
              <w:t>中国近现代史纲要</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rFonts w:eastAsia="黑体"/>
                <w:bCs/>
                <w:color w:val="000000"/>
                <w:kern w:val="0"/>
                <w:szCs w:val="21"/>
              </w:rPr>
            </w:pPr>
            <w:r>
              <w:rPr>
                <w:color w:val="000000"/>
                <w:kern w:val="0"/>
                <w:szCs w:val="21"/>
                <w:lang w:bidi="ar"/>
              </w:rPr>
              <w:t>音乐素养</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rFonts w:eastAsia="黑体"/>
                <w:bCs/>
                <w:color w:val="000000"/>
                <w:kern w:val="0"/>
                <w:szCs w:val="21"/>
              </w:rPr>
            </w:pPr>
            <w:r>
              <w:rPr>
                <w:color w:val="000000"/>
                <w:kern w:val="0"/>
                <w:szCs w:val="21"/>
                <w:lang w:bidi="ar"/>
              </w:rPr>
              <w:t>毛泽东思想和中国特色社会主义理论体系概论</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大学生创新创业素质教育</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形势与政策</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高等数学A(Ⅰ, II)</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无机及分析化学(Ⅰ, II)</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大学物理B(Ⅰ, II)</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工程制图</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有机化学(Ⅰ, II)</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线性代数与概率统计</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大学物理实验B</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物理化学(Ⅰ, II)</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机械基础</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材料科学与工程基础（Ⅰ, II）</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材料力学</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电工学A</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rFonts w:hint="eastAsia"/>
                <w:color w:val="000000"/>
                <w:kern w:val="0"/>
                <w:szCs w:val="21"/>
                <w:lang w:bidi="ar"/>
              </w:rPr>
              <w:t>材工</w:t>
            </w:r>
            <w:r>
              <w:rPr>
                <w:color w:val="000000"/>
                <w:kern w:val="0"/>
                <w:szCs w:val="21"/>
                <w:lang w:bidi="ar"/>
              </w:rPr>
              <w:t>专业导论</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rFonts w:hint="eastAsia"/>
                <w:color w:val="000000"/>
                <w:kern w:val="0"/>
                <w:szCs w:val="21"/>
                <w:lang w:bidi="ar"/>
              </w:rPr>
              <w:t>化工安全与环保</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化学综合实验(Ⅰ, II)</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有机化学实验</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07" w:type="dxa"/>
            <w:shd w:val="clear" w:color="auto" w:fill="auto"/>
            <w:vAlign w:val="center"/>
          </w:tcPr>
          <w:p>
            <w:pPr>
              <w:widowControl/>
              <w:adjustRightInd w:val="0"/>
              <w:snapToGrid w:val="0"/>
              <w:ind w:left="-105" w:leftChars="-50" w:right="-105" w:rightChars="-50"/>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物理化学实验</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化工技术经济与管理</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w:t>
            </w:r>
            <w:r>
              <w:rPr>
                <w:rFonts w:hint="eastAsia"/>
                <w:color w:val="000000"/>
                <w:kern w:val="0"/>
                <w:szCs w:val="21"/>
                <w:lang w:bidi="ar"/>
              </w:rPr>
              <w:t>制备与</w:t>
            </w:r>
            <w:r>
              <w:rPr>
                <w:color w:val="000000"/>
                <w:kern w:val="0"/>
                <w:szCs w:val="21"/>
                <w:lang w:bidi="ar"/>
              </w:rPr>
              <w:t>合成</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材料物理性能</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材料加工原理</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应用电化学</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材料基础实验</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材料表征方法</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材料综合实验</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化工CAD</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szCs w:val="21"/>
              </w:rPr>
            </w:pPr>
            <w:r>
              <w:rPr>
                <w:color w:val="000000"/>
                <w:kern w:val="0"/>
                <w:szCs w:val="21"/>
                <w:lang w:bidi="ar"/>
              </w:rPr>
              <w:t>计算机在材料科学中的应用</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rFonts w:hint="eastAsia"/>
                <w:color w:val="000000"/>
                <w:kern w:val="0"/>
                <w:szCs w:val="21"/>
                <w:lang w:bidi="ar"/>
              </w:rPr>
              <w:t>材工</w:t>
            </w:r>
            <w:r>
              <w:rPr>
                <w:color w:val="000000"/>
                <w:kern w:val="0"/>
                <w:szCs w:val="21"/>
                <w:lang w:bidi="ar"/>
              </w:rPr>
              <w:t>学科前沿</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文献检索与写作</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r>
              <w:rPr>
                <w:rFonts w:hint="eastAsia" w:eastAsia="黑体"/>
                <w:bCs/>
                <w:color w:val="000000"/>
                <w:kern w:val="0"/>
                <w:szCs w:val="21"/>
              </w:rPr>
              <w:t>H</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rPr>
                <w:color w:val="000000"/>
                <w:kern w:val="0"/>
                <w:szCs w:val="21"/>
                <w:lang w:bidi="ar"/>
              </w:rPr>
            </w:pPr>
            <w:r>
              <w:rPr>
                <w:rFonts w:hint="eastAsia"/>
                <w:color w:val="000000"/>
                <w:szCs w:val="21"/>
              </w:rPr>
              <w:t>军事技能</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743"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认识实习</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机械基础课程设计</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金工实习</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rFonts w:hint="eastAsia"/>
                <w:color w:val="000000"/>
                <w:kern w:val="0"/>
                <w:szCs w:val="21"/>
                <w:lang w:bidi="ar"/>
              </w:rPr>
              <w:t>材料制备与合成课程设计</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rFonts w:hint="eastAsia"/>
                <w:color w:val="000000"/>
                <w:kern w:val="0"/>
                <w:szCs w:val="21"/>
                <w:lang w:bidi="ar"/>
              </w:rPr>
              <w:t>材料物理性能与测试技术课程设计</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综合创新训练</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H</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毕业实习</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 xml:space="preserve"> </w:t>
            </w:r>
            <w:r>
              <w:rPr>
                <w:rFonts w:hint="eastAsia" w:eastAsia="黑体"/>
                <w:bCs/>
                <w:color w:val="000000"/>
                <w:kern w:val="0"/>
                <w:szCs w:val="21"/>
              </w:rPr>
              <w:t>H</w:t>
            </w: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1" w:type="dxa"/>
            <w:shd w:val="clear" w:color="auto" w:fill="auto"/>
            <w:vAlign w:val="center"/>
          </w:tcPr>
          <w:p>
            <w:pPr>
              <w:widowControl/>
              <w:adjustRightInd w:val="0"/>
              <w:snapToGrid w:val="0"/>
              <w:jc w:val="center"/>
              <w:textAlignment w:val="center"/>
              <w:rPr>
                <w:color w:val="000000"/>
                <w:kern w:val="0"/>
                <w:szCs w:val="21"/>
                <w:lang w:bidi="ar"/>
              </w:rPr>
            </w:pPr>
            <w:r>
              <w:rPr>
                <w:color w:val="000000"/>
                <w:kern w:val="0"/>
                <w:szCs w:val="21"/>
                <w:lang w:bidi="ar"/>
              </w:rPr>
              <w:t>毕业设计（论文）</w:t>
            </w:r>
          </w:p>
        </w:tc>
        <w:tc>
          <w:tcPr>
            <w:tcW w:w="907"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907"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093"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69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6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r>
              <w:rPr>
                <w:rFonts w:eastAsia="黑体"/>
                <w:bCs/>
                <w:color w:val="000000"/>
                <w:kern w:val="0"/>
                <w:szCs w:val="21"/>
              </w:rPr>
              <w:t>M</w:t>
            </w:r>
          </w:p>
        </w:tc>
        <w:tc>
          <w:tcPr>
            <w:tcW w:w="92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1130" w:type="dxa"/>
            <w:shd w:val="clear" w:color="auto" w:fill="DCE6F2"/>
            <w:vAlign w:val="center"/>
          </w:tcPr>
          <w:p>
            <w:pPr>
              <w:widowControl/>
              <w:adjustRightInd w:val="0"/>
              <w:snapToGrid w:val="0"/>
              <w:ind w:left="-105" w:leftChars="-50" w:right="-105" w:rightChars="-50"/>
              <w:jc w:val="center"/>
              <w:rPr>
                <w:rFonts w:eastAsia="黑体"/>
                <w:bCs/>
                <w:color w:val="000000"/>
                <w:kern w:val="0"/>
                <w:szCs w:val="21"/>
              </w:rPr>
            </w:pPr>
          </w:p>
        </w:tc>
        <w:tc>
          <w:tcPr>
            <w:tcW w:w="870" w:type="dxa"/>
            <w:shd w:val="clear" w:color="auto" w:fill="auto"/>
            <w:vAlign w:val="center"/>
          </w:tcPr>
          <w:p>
            <w:pPr>
              <w:widowControl/>
              <w:adjustRightInd w:val="0"/>
              <w:snapToGrid w:val="0"/>
              <w:ind w:left="-105" w:leftChars="-50" w:right="-105" w:rightChars="-50"/>
              <w:jc w:val="center"/>
              <w:rPr>
                <w:rFonts w:eastAsia="黑体"/>
                <w:bCs/>
                <w:color w:val="000000"/>
                <w:kern w:val="0"/>
                <w:szCs w:val="21"/>
              </w:rPr>
            </w:pPr>
          </w:p>
        </w:tc>
        <w:tc>
          <w:tcPr>
            <w:tcW w:w="850" w:type="dxa"/>
            <w:shd w:val="clear" w:color="auto" w:fill="DCE6F2"/>
          </w:tcPr>
          <w:p>
            <w:pPr>
              <w:widowControl/>
              <w:adjustRightInd w:val="0"/>
              <w:snapToGrid w:val="0"/>
              <w:ind w:left="-105" w:leftChars="-50" w:right="-105" w:rightChars="-50"/>
              <w:jc w:val="center"/>
              <w:rPr>
                <w:rFonts w:eastAsia="黑体"/>
                <w:bCs/>
                <w:color w:val="000000"/>
                <w:kern w:val="0"/>
                <w:szCs w:val="21"/>
              </w:rPr>
            </w:pPr>
          </w:p>
        </w:tc>
        <w:tc>
          <w:tcPr>
            <w:tcW w:w="743" w:type="dxa"/>
            <w:shd w:val="clear" w:color="auto" w:fill="auto"/>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DCE6F2"/>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adjustRightInd w:val="0"/>
              <w:snapToGrid w:val="0"/>
              <w:ind w:left="-105" w:leftChars="-50" w:right="-105" w:rightChars="-50"/>
              <w:jc w:val="center"/>
              <w:rPr>
                <w:rFonts w:eastAsia="黑体"/>
                <w:bCs/>
                <w:color w:val="000000"/>
                <w:kern w:val="0"/>
                <w:szCs w:val="21"/>
              </w:rPr>
            </w:pPr>
            <w:r>
              <w:rPr>
                <w:rFonts w:hint="eastAsia" w:eastAsia="黑体"/>
                <w:bCs/>
                <w:color w:val="000000"/>
                <w:kern w:val="0"/>
                <w:szCs w:val="21"/>
              </w:rPr>
              <w:t>H</w:t>
            </w:r>
          </w:p>
        </w:tc>
      </w:tr>
    </w:tbl>
    <w:p>
      <w:pPr>
        <w:adjustRightInd w:val="0"/>
        <w:snapToGrid w:val="0"/>
        <w:rPr>
          <w:color w:val="000000"/>
        </w:rPr>
      </w:pPr>
      <w:r>
        <w:rPr>
          <w:color w:val="000000"/>
        </w:rPr>
        <w:t>注：某课程或实践环节对毕业要求的支撑程度分别用“H（高）、M（中）、L（弱）”</w:t>
      </w:r>
    </w:p>
    <w:p>
      <w:pPr>
        <w:adjustRightInd w:val="0"/>
        <w:snapToGrid w:val="0"/>
        <w:rPr>
          <w:color w:val="000000"/>
        </w:rPr>
      </w:pPr>
    </w:p>
    <w:p>
      <w:pPr>
        <w:adjustRightInd w:val="0"/>
        <w:snapToGrid w:val="0"/>
        <w:rPr>
          <w:color w:val="000000"/>
        </w:rPr>
      </w:pPr>
      <w:r>
        <w:rPr>
          <w:rFonts w:hint="eastAsia"/>
          <w:color w:val="000000"/>
        </w:rPr>
        <w:t xml:space="preserve">      </w:t>
      </w:r>
    </w:p>
    <w:p>
      <w:pPr>
        <w:adjustRightInd w:val="0"/>
        <w:snapToGrid w:val="0"/>
        <w:rPr>
          <w:color w:val="000000"/>
        </w:rPr>
      </w:pPr>
      <w:r>
        <w:rPr>
          <w:rFonts w:hint="eastAsia"/>
          <w:color w:val="000000"/>
        </w:rPr>
        <w:t xml:space="preserve">                </w:t>
      </w:r>
    </w:p>
    <w:p>
      <w:pPr>
        <w:adjustRightInd w:val="0"/>
        <w:snapToGrid w:val="0"/>
        <w:rPr>
          <w:color w:val="000000"/>
        </w:rPr>
      </w:pPr>
      <w:r>
        <w:rPr>
          <w:rFonts w:hint="eastAsia"/>
          <w:color w:val="000000"/>
        </w:rPr>
        <w:t xml:space="preserve">                                                                                         制定人：徐艳 宋明 周建石（企业）</w:t>
      </w:r>
    </w:p>
    <w:p>
      <w:pPr>
        <w:adjustRightInd w:val="0"/>
        <w:snapToGrid w:val="0"/>
        <w:rPr>
          <w:color w:val="000000"/>
        </w:rPr>
      </w:pPr>
      <w:r>
        <w:rPr>
          <w:color w:val="000000"/>
        </w:rPr>
        <w:t xml:space="preserve">                              </w:t>
      </w:r>
      <w:r>
        <w:rPr>
          <w:rFonts w:hint="eastAsia"/>
          <w:color w:val="000000"/>
        </w:rPr>
        <w:t xml:space="preserve">                                   </w:t>
      </w:r>
      <w:r>
        <w:rPr>
          <w:color w:val="000000"/>
        </w:rPr>
        <w:t xml:space="preserve">                        审核人：</w:t>
      </w:r>
      <w:r>
        <w:rPr>
          <w:rFonts w:hint="eastAsia"/>
          <w:color w:val="000000"/>
        </w:rPr>
        <w:t>堵锡华</w:t>
      </w:r>
    </w:p>
    <w:p>
      <w:pPr>
        <w:adjustRightInd w:val="0"/>
        <w:snapToGrid w:val="0"/>
        <w:rPr>
          <w:color w:val="000000"/>
        </w:rPr>
      </w:pPr>
      <w:r>
        <w:rPr>
          <w:color w:val="000000"/>
        </w:rPr>
        <w:t xml:space="preserve">                                 </w:t>
      </w:r>
      <w:r>
        <w:rPr>
          <w:rFonts w:hint="eastAsia"/>
          <w:color w:val="000000"/>
        </w:rPr>
        <w:t xml:space="preserve">                                   </w:t>
      </w:r>
      <w:r>
        <w:rPr>
          <w:color w:val="000000"/>
        </w:rPr>
        <w:t xml:space="preserve">                     批准人：</w:t>
      </w:r>
      <w:r>
        <w:rPr>
          <w:rFonts w:hint="eastAsia"/>
          <w:color w:val="000000"/>
        </w:rPr>
        <w:t>曹杰</w:t>
      </w:r>
    </w:p>
    <w:p>
      <w:pPr>
        <w:adjustRightInd w:val="0"/>
        <w:snapToGrid w:val="0"/>
        <w:rPr>
          <w:color w:val="000000"/>
        </w:rPr>
      </w:pPr>
      <w:r>
        <w:rPr>
          <w:color w:val="000000"/>
        </w:rPr>
        <w:t xml:space="preserve">                                 </w:t>
      </w:r>
      <w:r>
        <w:rPr>
          <w:rFonts w:hint="eastAsia"/>
          <w:color w:val="000000"/>
        </w:rPr>
        <w:t xml:space="preserve">                                   </w:t>
      </w:r>
      <w:r>
        <w:rPr>
          <w:color w:val="000000"/>
        </w:rPr>
        <w:t xml:space="preserve">                     日期：2019年</w:t>
      </w:r>
      <w:r>
        <w:rPr>
          <w:rFonts w:hint="eastAsia"/>
          <w:color w:val="000000"/>
        </w:rPr>
        <w:t>09</w:t>
      </w:r>
      <w:r>
        <w:rPr>
          <w:color w:val="000000"/>
        </w:rPr>
        <w:t>月</w:t>
      </w:r>
    </w:p>
    <w:p>
      <w:pPr>
        <w:adjustRightInd w:val="0"/>
        <w:snapToGrid w:val="0"/>
        <w:rPr>
          <w:color w:val="000000"/>
        </w:rPr>
        <w:sectPr>
          <w:footerReference r:id="rId6" w:type="default"/>
          <w:pgSz w:w="16838" w:h="11906" w:orient="landscape"/>
          <w:pgMar w:top="1800" w:right="1440" w:bottom="1800" w:left="1440" w:header="851" w:footer="992" w:gutter="0"/>
          <w:pgNumType w:fmt="upperRoman"/>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536"/>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9690" cy="13970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9690" cy="139700"/>
                      </a:xfrm>
                      <a:prstGeom prst="rect">
                        <a:avLst/>
                      </a:prstGeom>
                      <a:noFill/>
                      <a:ln>
                        <a:noFill/>
                      </a:ln>
                    </wps:spPr>
                    <wps:txbx>
                      <w:txbxContent>
                        <w:p>
                          <w:pPr>
                            <w:pStyle w:val="12"/>
                          </w:pPr>
                          <w:r>
                            <w:rPr>
                              <w:rFonts w:hint="eastAsia"/>
                            </w:rPr>
                            <w:fldChar w:fldCharType="begin"/>
                          </w:r>
                          <w:r>
                            <w:rPr>
                              <w:rFonts w:hint="eastAsia"/>
                            </w:rPr>
                            <w:instrText xml:space="preserve"> PAGE  \* MERGEFORMAT </w:instrText>
                          </w:r>
                          <w:r>
                            <w:rPr>
                              <w:rFonts w:hint="eastAsia"/>
                            </w:rPr>
                            <w:fldChar w:fldCharType="separate"/>
                          </w:r>
                          <w:r>
                            <w:t>VIII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7pt;mso-position-horizontal:center;mso-position-horizontal-relative:margin;mso-wrap-style:none;z-index:251659264;mso-width-relative:page;mso-height-relative:page;" filled="f" stroked="f" coordsize="21600,21600" o:gfxdata="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Abgy9AA&#10;AAACAQAADwAAAAAAAAABACAAAAAiAAAAZHJzL2Rvd25yZXYueG1sUEsBAhQAFAAAAAgAh07iQDYg&#10;9wzuAQAAswMAAA4AAAAAAAAAAQAgAAAAHwEAAGRycy9lMm9Eb2MueG1sUEsFBgAAAAAGAAYAWQEA&#10;AH8FAAAAAA==&#10;">
              <v:fill on="f" focussize="0,0"/>
              <v:stroke on="f"/>
              <v:imagedata o:title=""/>
              <o:lock v:ext="edit"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VIII</w:t>
                    </w:r>
                    <w:r>
                      <w:rPr>
                        <w:rFonts w:hint="eastAsia"/>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53035" cy="1397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53035" cy="139700"/>
                      </a:xfrm>
                      <a:prstGeom prst="rect">
                        <a:avLst/>
                      </a:prstGeom>
                      <a:noFill/>
                      <a:ln>
                        <a:noFill/>
                      </a:ln>
                    </wps:spPr>
                    <wps:txbx>
                      <w:txbxContent>
                        <w:p>
                          <w:pPr>
                            <w:pStyle w:val="12"/>
                            <w:jc w:val="center"/>
                          </w:pPr>
                          <w:r>
                            <w:fldChar w:fldCharType="begin"/>
                          </w:r>
                          <w:r>
                            <w:instrText xml:space="preserve"> PAGE   \* MERGEFORMAT </w:instrText>
                          </w:r>
                          <w:r>
                            <w:fldChar w:fldCharType="separate"/>
                          </w:r>
                          <w:r>
                            <w:rPr>
                              <w:lang w:val="zh-CN"/>
                            </w:rPr>
                            <w:t>XIII</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12.05pt;mso-position-horizontal:center;mso-position-horizontal-relative:margin;mso-wrap-style:none;z-index:251661312;mso-width-relative:page;mso-height-relative:page;" filled="f" stroked="f" coordsize="21600,21600" o:gfxdata="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Rv/mfQ&#10;AAAAAwEAAA8AAAAAAAAAAQAgAAAAIgAAAGRycy9kb3ducmV2LnhtbFBLAQIUABQAAAAIAIdO4kCZ&#10;sLxe7wEAALQDAAAOAAAAAAAAAAEAIAAAAB8BAABkcnMvZTJvRG9jLnhtbFBLBQYAAAAABgAGAFkB&#10;AACABQAAAAA=&#10;">
              <v:fill on="f" focussize="0,0"/>
              <v:stroke on="f"/>
              <v:imagedata o:title=""/>
              <o:lock v:ext="edit" aspectratio="f"/>
              <v:textbox inset="0mm,0mm,0mm,0mm" style="mso-fit-shape-to-text:t;">
                <w:txbxContent>
                  <w:p>
                    <w:pPr>
                      <w:pStyle w:val="12"/>
                      <w:jc w:val="center"/>
                    </w:pPr>
                    <w:r>
                      <w:fldChar w:fldCharType="begin"/>
                    </w:r>
                    <w:r>
                      <w:instrText xml:space="preserve"> PAGE   \* MERGEFORMAT </w:instrText>
                    </w:r>
                    <w:r>
                      <w:fldChar w:fldCharType="separate"/>
                    </w:r>
                    <w:r>
                      <w:rPr>
                        <w:lang w:val="zh-CN"/>
                      </w:rPr>
                      <w:t>XIII</w:t>
                    </w:r>
                    <w:r>
                      <w:fldChar w:fldCharType="end"/>
                    </w:r>
                  </w:p>
                </w:txbxContent>
              </v:textbox>
            </v:shape>
          </w:pict>
        </mc:Fallback>
      </mc:AlternateContent>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5361E"/>
    <w:multiLevelType w:val="singleLevel"/>
    <w:tmpl w:val="8D05361E"/>
    <w:lvl w:ilvl="0" w:tentative="0">
      <w:start w:val="8"/>
      <w:numFmt w:val="chineseCounting"/>
      <w:suff w:val="nothing"/>
      <w:lvlText w:val="%1、"/>
      <w:lvlJc w:val="left"/>
      <w:rPr>
        <w:rFonts w:hint="eastAsia"/>
      </w:rPr>
    </w:lvl>
  </w:abstractNum>
  <w:abstractNum w:abstractNumId="1">
    <w:nsid w:val="C9DE682B"/>
    <w:multiLevelType w:val="singleLevel"/>
    <w:tmpl w:val="C9DE682B"/>
    <w:lvl w:ilvl="0" w:tentative="0">
      <w:start w:val="6"/>
      <w:numFmt w:val="decimal"/>
      <w:suff w:val="space"/>
      <w:lvlText w:val="%1."/>
      <w:lvlJc w:val="left"/>
    </w:lvl>
  </w:abstractNum>
  <w:abstractNum w:abstractNumId="2">
    <w:nsid w:val="EC91B2B4"/>
    <w:multiLevelType w:val="singleLevel"/>
    <w:tmpl w:val="EC91B2B4"/>
    <w:lvl w:ilvl="0" w:tentative="0">
      <w:start w:val="1"/>
      <w:numFmt w:val="decimal"/>
      <w:suff w:val="space"/>
      <w:lvlText w:val="%1."/>
      <w:lvlJc w:val="left"/>
    </w:lvl>
  </w:abstractNum>
  <w:abstractNum w:abstractNumId="3">
    <w:nsid w:val="4076E65A"/>
    <w:multiLevelType w:val="singleLevel"/>
    <w:tmpl w:val="4076E65A"/>
    <w:lvl w:ilvl="0" w:tentative="0">
      <w:start w:val="2"/>
      <w:numFmt w:val="decimal"/>
      <w:suff w:val="space"/>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D27"/>
    <w:rsid w:val="00120D27"/>
    <w:rsid w:val="00231A3E"/>
    <w:rsid w:val="00273244"/>
    <w:rsid w:val="007A4E6F"/>
    <w:rsid w:val="007B25FF"/>
    <w:rsid w:val="00897AD0"/>
    <w:rsid w:val="00CE71F3"/>
    <w:rsid w:val="00E916AC"/>
    <w:rsid w:val="00F13762"/>
    <w:rsid w:val="1B8C518F"/>
    <w:rsid w:val="27E0784A"/>
    <w:rsid w:val="38386905"/>
    <w:rsid w:val="4ADF3C89"/>
    <w:rsid w:val="4C237AC5"/>
    <w:rsid w:val="50081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5"/>
    <w:qFormat/>
    <w:uiPriority w:val="0"/>
    <w:pPr>
      <w:keepNext/>
      <w:keepLines/>
      <w:adjustRightInd w:val="0"/>
      <w:snapToGrid w:val="0"/>
      <w:spacing w:before="50" w:beforeLines="50" w:after="50" w:afterLines="50" w:line="360" w:lineRule="auto"/>
      <w:jc w:val="center"/>
      <w:outlineLvl w:val="0"/>
    </w:pPr>
    <w:rPr>
      <w:rFonts w:eastAsia="黑体"/>
      <w:b/>
      <w:bCs/>
      <w:kern w:val="44"/>
      <w:sz w:val="32"/>
      <w:szCs w:val="44"/>
    </w:rPr>
  </w:style>
  <w:style w:type="character" w:default="1" w:styleId="22">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unhideWhenUsed/>
    <w:qFormat/>
    <w:uiPriority w:val="39"/>
    <w:pPr>
      <w:ind w:left="2520" w:leftChars="1200"/>
    </w:pPr>
    <w:rPr>
      <w:szCs w:val="22"/>
    </w:rPr>
  </w:style>
  <w:style w:type="paragraph" w:styleId="4">
    <w:name w:val="annotation text"/>
    <w:basedOn w:val="1"/>
    <w:link w:val="27"/>
    <w:qFormat/>
    <w:uiPriority w:val="0"/>
    <w:pPr>
      <w:jc w:val="left"/>
    </w:pPr>
    <w:rPr>
      <w:rFonts w:cstheme="minorBidi"/>
    </w:rPr>
  </w:style>
  <w:style w:type="paragraph" w:styleId="5">
    <w:name w:val="Body Text 3"/>
    <w:basedOn w:val="1"/>
    <w:link w:val="58"/>
    <w:qFormat/>
    <w:uiPriority w:val="0"/>
    <w:pPr>
      <w:spacing w:after="120"/>
    </w:pPr>
    <w:rPr>
      <w:sz w:val="16"/>
      <w:szCs w:val="16"/>
    </w:rPr>
  </w:style>
  <w:style w:type="paragraph" w:styleId="6">
    <w:name w:val="Block Text"/>
    <w:basedOn w:val="1"/>
    <w:qFormat/>
    <w:uiPriority w:val="0"/>
    <w:pPr>
      <w:autoSpaceDE w:val="0"/>
      <w:autoSpaceDN w:val="0"/>
      <w:adjustRightInd w:val="0"/>
      <w:jc w:val="center"/>
    </w:pPr>
    <w:rPr>
      <w:bCs/>
      <w:sz w:val="18"/>
      <w:szCs w:val="21"/>
    </w:rPr>
  </w:style>
  <w:style w:type="paragraph" w:styleId="7">
    <w:name w:val="toc 5"/>
    <w:basedOn w:val="1"/>
    <w:next w:val="1"/>
    <w:unhideWhenUsed/>
    <w:qFormat/>
    <w:uiPriority w:val="39"/>
    <w:pPr>
      <w:ind w:left="1680" w:leftChars="800"/>
    </w:pPr>
    <w:rPr>
      <w:szCs w:val="22"/>
    </w:rPr>
  </w:style>
  <w:style w:type="paragraph" w:styleId="8">
    <w:name w:val="toc 3"/>
    <w:basedOn w:val="1"/>
    <w:next w:val="1"/>
    <w:unhideWhenUsed/>
    <w:qFormat/>
    <w:uiPriority w:val="39"/>
    <w:pPr>
      <w:ind w:left="840" w:leftChars="400"/>
    </w:pPr>
    <w:rPr>
      <w:szCs w:val="22"/>
    </w:rPr>
  </w:style>
  <w:style w:type="paragraph" w:styleId="9">
    <w:name w:val="Plain Text"/>
    <w:basedOn w:val="1"/>
    <w:link w:val="26"/>
    <w:qFormat/>
    <w:uiPriority w:val="0"/>
    <w:rPr>
      <w:rFonts w:ascii="宋体" w:hAnsi="Courier New" w:cs="Courier New"/>
      <w:szCs w:val="21"/>
    </w:rPr>
  </w:style>
  <w:style w:type="paragraph" w:styleId="10">
    <w:name w:val="toc 8"/>
    <w:basedOn w:val="1"/>
    <w:next w:val="1"/>
    <w:unhideWhenUsed/>
    <w:qFormat/>
    <w:uiPriority w:val="39"/>
    <w:pPr>
      <w:ind w:left="2940" w:leftChars="1400"/>
    </w:pPr>
    <w:rPr>
      <w:szCs w:val="22"/>
    </w:rPr>
  </w:style>
  <w:style w:type="paragraph" w:styleId="11">
    <w:name w:val="Balloon Text"/>
    <w:basedOn w:val="1"/>
    <w:link w:val="40"/>
    <w:qFormat/>
    <w:uiPriority w:val="0"/>
    <w:rPr>
      <w:rFonts w:asciiTheme="minorHAnsi" w:hAnsiTheme="minorHAnsi" w:eastAsiaTheme="minorEastAsia" w:cstheme="minorBidi"/>
      <w:sz w:val="18"/>
      <w:szCs w:val="18"/>
    </w:rPr>
  </w:style>
  <w:style w:type="paragraph" w:styleId="12">
    <w:name w:val="footer"/>
    <w:basedOn w:val="1"/>
    <w:link w:val="35"/>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37"/>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toc 1"/>
    <w:basedOn w:val="1"/>
    <w:next w:val="1"/>
    <w:qFormat/>
    <w:uiPriority w:val="39"/>
  </w:style>
  <w:style w:type="paragraph" w:styleId="15">
    <w:name w:val="toc 4"/>
    <w:basedOn w:val="1"/>
    <w:next w:val="1"/>
    <w:unhideWhenUsed/>
    <w:qFormat/>
    <w:uiPriority w:val="39"/>
    <w:pPr>
      <w:ind w:left="1260" w:leftChars="600"/>
    </w:pPr>
    <w:rPr>
      <w:szCs w:val="22"/>
    </w:rPr>
  </w:style>
  <w:style w:type="paragraph" w:styleId="16">
    <w:name w:val="toc 6"/>
    <w:basedOn w:val="1"/>
    <w:next w:val="1"/>
    <w:unhideWhenUsed/>
    <w:qFormat/>
    <w:uiPriority w:val="39"/>
    <w:pPr>
      <w:ind w:left="2100" w:leftChars="1000"/>
    </w:pPr>
    <w:rPr>
      <w:szCs w:val="22"/>
    </w:rPr>
  </w:style>
  <w:style w:type="paragraph" w:styleId="17">
    <w:name w:val="toc 2"/>
    <w:basedOn w:val="1"/>
    <w:next w:val="1"/>
    <w:unhideWhenUsed/>
    <w:qFormat/>
    <w:uiPriority w:val="39"/>
    <w:pPr>
      <w:ind w:left="420" w:leftChars="200"/>
    </w:pPr>
    <w:rPr>
      <w:szCs w:val="22"/>
    </w:rPr>
  </w:style>
  <w:style w:type="paragraph" w:styleId="18">
    <w:name w:val="toc 9"/>
    <w:basedOn w:val="1"/>
    <w:next w:val="1"/>
    <w:unhideWhenUsed/>
    <w:qFormat/>
    <w:uiPriority w:val="39"/>
    <w:pPr>
      <w:ind w:left="3360" w:leftChars="1600"/>
    </w:pPr>
    <w:rPr>
      <w:szCs w:val="22"/>
    </w:rPr>
  </w:style>
  <w:style w:type="paragraph" w:styleId="19">
    <w:name w:val="Normal (Web)"/>
    <w:basedOn w:val="1"/>
    <w:qFormat/>
    <w:uiPriority w:val="0"/>
    <w:pPr>
      <w:widowControl/>
      <w:spacing w:before="100" w:beforeAutospacing="1" w:after="100" w:afterAutospacing="1"/>
      <w:jc w:val="left"/>
    </w:pPr>
    <w:rPr>
      <w:rFonts w:ascii="宋体"/>
      <w:kern w:val="0"/>
      <w:sz w:val="24"/>
    </w:rPr>
  </w:style>
  <w:style w:type="table" w:styleId="21">
    <w:name w:val="Table Grid"/>
    <w:basedOn w:val="20"/>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unhideWhenUsed/>
    <w:qFormat/>
    <w:uiPriority w:val="99"/>
    <w:rPr>
      <w:color w:val="0563C1"/>
      <w:u w:val="single"/>
    </w:rPr>
  </w:style>
  <w:style w:type="character" w:styleId="24">
    <w:name w:val="annotation reference"/>
    <w:qFormat/>
    <w:uiPriority w:val="0"/>
    <w:rPr>
      <w:sz w:val="21"/>
      <w:szCs w:val="21"/>
    </w:rPr>
  </w:style>
  <w:style w:type="character" w:customStyle="1" w:styleId="25">
    <w:name w:val="标题 1 Char"/>
    <w:basedOn w:val="22"/>
    <w:link w:val="2"/>
    <w:uiPriority w:val="0"/>
    <w:rPr>
      <w:rFonts w:ascii="Calibri" w:hAnsi="Calibri" w:eastAsia="黑体" w:cs="Times New Roman"/>
      <w:b/>
      <w:bCs/>
      <w:kern w:val="44"/>
      <w:sz w:val="32"/>
      <w:szCs w:val="44"/>
    </w:rPr>
  </w:style>
  <w:style w:type="character" w:customStyle="1" w:styleId="26">
    <w:name w:val="纯文本 Char"/>
    <w:link w:val="9"/>
    <w:qFormat/>
    <w:locked/>
    <w:uiPriority w:val="0"/>
    <w:rPr>
      <w:rFonts w:ascii="宋体" w:hAnsi="Courier New" w:eastAsia="宋体" w:cs="Courier New"/>
      <w:szCs w:val="21"/>
    </w:rPr>
  </w:style>
  <w:style w:type="character" w:customStyle="1" w:styleId="27">
    <w:name w:val="批注文字 Char"/>
    <w:link w:val="4"/>
    <w:qFormat/>
    <w:uiPriority w:val="0"/>
    <w:rPr>
      <w:rFonts w:ascii="Calibri" w:hAnsi="Calibri" w:eastAsia="宋体"/>
      <w:szCs w:val="24"/>
    </w:rPr>
  </w:style>
  <w:style w:type="character" w:customStyle="1" w:styleId="28">
    <w:name w:val="font51"/>
    <w:qFormat/>
    <w:uiPriority w:val="0"/>
    <w:rPr>
      <w:rFonts w:hint="eastAsia" w:ascii="宋体" w:hAnsi="宋体" w:eastAsia="宋体" w:cs="宋体"/>
      <w:b/>
      <w:color w:val="000000"/>
      <w:sz w:val="21"/>
      <w:szCs w:val="21"/>
      <w:u w:val="none"/>
    </w:rPr>
  </w:style>
  <w:style w:type="character" w:customStyle="1" w:styleId="29">
    <w:name w:val="font101"/>
    <w:uiPriority w:val="0"/>
    <w:rPr>
      <w:rFonts w:hint="eastAsia" w:ascii="宋体" w:hAnsi="宋体" w:eastAsia="宋体" w:cs="宋体"/>
      <w:b/>
      <w:color w:val="000000"/>
      <w:sz w:val="21"/>
      <w:szCs w:val="21"/>
      <w:u w:val="none"/>
    </w:rPr>
  </w:style>
  <w:style w:type="character" w:customStyle="1" w:styleId="30">
    <w:name w:val="font301"/>
    <w:qFormat/>
    <w:uiPriority w:val="0"/>
    <w:rPr>
      <w:rFonts w:hint="default" w:ascii="Times New Roman" w:hAnsi="Times New Roman" w:cs="Times New Roman"/>
      <w:b/>
      <w:color w:val="000000"/>
      <w:sz w:val="24"/>
      <w:szCs w:val="24"/>
      <w:u w:val="none"/>
    </w:rPr>
  </w:style>
  <w:style w:type="character" w:customStyle="1" w:styleId="31">
    <w:name w:val="font71"/>
    <w:uiPriority w:val="0"/>
    <w:rPr>
      <w:rFonts w:hint="eastAsia" w:ascii="宋体" w:hAnsi="宋体" w:eastAsia="宋体" w:cs="宋体"/>
      <w:b/>
      <w:color w:val="000000"/>
      <w:sz w:val="21"/>
      <w:szCs w:val="21"/>
      <w:u w:val="none"/>
    </w:rPr>
  </w:style>
  <w:style w:type="character" w:customStyle="1" w:styleId="32">
    <w:name w:val="font151"/>
    <w:qFormat/>
    <w:uiPriority w:val="0"/>
    <w:rPr>
      <w:rFonts w:hint="eastAsia" w:ascii="宋体" w:hAnsi="宋体" w:eastAsia="宋体" w:cs="宋体"/>
      <w:color w:val="000000"/>
      <w:sz w:val="21"/>
      <w:szCs w:val="21"/>
      <w:u w:val="none"/>
    </w:rPr>
  </w:style>
  <w:style w:type="character" w:customStyle="1" w:styleId="33">
    <w:name w:val="font111"/>
    <w:qFormat/>
    <w:uiPriority w:val="0"/>
    <w:rPr>
      <w:rFonts w:hint="eastAsia" w:ascii="宋体" w:hAnsi="宋体" w:eastAsia="宋体" w:cs="宋体"/>
      <w:b/>
      <w:color w:val="000000"/>
      <w:sz w:val="24"/>
      <w:szCs w:val="24"/>
      <w:u w:val="none"/>
    </w:rPr>
  </w:style>
  <w:style w:type="character" w:customStyle="1" w:styleId="34">
    <w:name w:val="font231"/>
    <w:uiPriority w:val="0"/>
    <w:rPr>
      <w:rFonts w:hint="eastAsia" w:ascii="宋体" w:hAnsi="宋体" w:eastAsia="宋体" w:cs="宋体"/>
      <w:b/>
      <w:color w:val="000000"/>
      <w:sz w:val="20"/>
      <w:szCs w:val="20"/>
      <w:u w:val="none"/>
    </w:rPr>
  </w:style>
  <w:style w:type="character" w:customStyle="1" w:styleId="35">
    <w:name w:val="页脚 Char"/>
    <w:link w:val="12"/>
    <w:qFormat/>
    <w:uiPriority w:val="99"/>
    <w:rPr>
      <w:sz w:val="18"/>
      <w:szCs w:val="18"/>
    </w:rPr>
  </w:style>
  <w:style w:type="character" w:customStyle="1" w:styleId="36">
    <w:name w:val="font21"/>
    <w:qFormat/>
    <w:uiPriority w:val="0"/>
    <w:rPr>
      <w:rFonts w:hint="eastAsia" w:ascii="宋体" w:hAnsi="宋体" w:eastAsia="宋体" w:cs="宋体"/>
      <w:b/>
      <w:color w:val="000000"/>
      <w:sz w:val="21"/>
      <w:szCs w:val="21"/>
      <w:u w:val="none"/>
    </w:rPr>
  </w:style>
  <w:style w:type="character" w:customStyle="1" w:styleId="37">
    <w:name w:val="页眉 Char"/>
    <w:link w:val="13"/>
    <w:qFormat/>
    <w:uiPriority w:val="0"/>
    <w:rPr>
      <w:sz w:val="18"/>
      <w:szCs w:val="18"/>
    </w:rPr>
  </w:style>
  <w:style w:type="character" w:customStyle="1" w:styleId="38">
    <w:name w:val="font161"/>
    <w:qFormat/>
    <w:uiPriority w:val="0"/>
    <w:rPr>
      <w:rFonts w:hint="eastAsia" w:ascii="宋体" w:hAnsi="宋体" w:eastAsia="宋体" w:cs="宋体"/>
      <w:color w:val="000000"/>
      <w:sz w:val="18"/>
      <w:szCs w:val="18"/>
      <w:u w:val="none"/>
    </w:rPr>
  </w:style>
  <w:style w:type="character" w:customStyle="1" w:styleId="39">
    <w:name w:val="font81"/>
    <w:qFormat/>
    <w:uiPriority w:val="0"/>
    <w:rPr>
      <w:rFonts w:hint="eastAsia" w:ascii="宋体" w:hAnsi="宋体" w:eastAsia="宋体" w:cs="宋体"/>
      <w:color w:val="000000"/>
      <w:sz w:val="18"/>
      <w:szCs w:val="18"/>
      <w:u w:val="none"/>
    </w:rPr>
  </w:style>
  <w:style w:type="character" w:customStyle="1" w:styleId="40">
    <w:name w:val="批注框文本 Char"/>
    <w:link w:val="11"/>
    <w:qFormat/>
    <w:uiPriority w:val="0"/>
    <w:rPr>
      <w:sz w:val="18"/>
      <w:szCs w:val="18"/>
    </w:rPr>
  </w:style>
  <w:style w:type="character" w:customStyle="1" w:styleId="41">
    <w:name w:val="font11"/>
    <w:uiPriority w:val="0"/>
    <w:rPr>
      <w:rFonts w:hint="default" w:ascii="Times New Roman" w:hAnsi="Times New Roman" w:cs="Times New Roman"/>
      <w:color w:val="000000"/>
      <w:sz w:val="18"/>
      <w:szCs w:val="18"/>
      <w:u w:val="none"/>
    </w:rPr>
  </w:style>
  <w:style w:type="character" w:customStyle="1" w:styleId="42">
    <w:name w:val="font41"/>
    <w:qFormat/>
    <w:uiPriority w:val="0"/>
    <w:rPr>
      <w:rFonts w:hint="eastAsia" w:ascii="宋体" w:hAnsi="宋体" w:eastAsia="宋体" w:cs="宋体"/>
      <w:color w:val="000000"/>
      <w:sz w:val="18"/>
      <w:szCs w:val="18"/>
      <w:u w:val="none"/>
    </w:rPr>
  </w:style>
  <w:style w:type="character" w:customStyle="1" w:styleId="43">
    <w:name w:val="font221"/>
    <w:qFormat/>
    <w:uiPriority w:val="0"/>
    <w:rPr>
      <w:rFonts w:hint="default" w:ascii="Times New Roman" w:hAnsi="Times New Roman" w:cs="Times New Roman"/>
      <w:b/>
      <w:color w:val="000000"/>
      <w:sz w:val="21"/>
      <w:szCs w:val="21"/>
      <w:u w:val="none"/>
    </w:rPr>
  </w:style>
  <w:style w:type="character" w:customStyle="1" w:styleId="44">
    <w:name w:val="font91"/>
    <w:qFormat/>
    <w:uiPriority w:val="0"/>
    <w:rPr>
      <w:rFonts w:hint="default" w:ascii="Times New Roman" w:hAnsi="Times New Roman" w:cs="Times New Roman"/>
      <w:color w:val="000000"/>
      <w:sz w:val="18"/>
      <w:szCs w:val="18"/>
      <w:u w:val="none"/>
    </w:rPr>
  </w:style>
  <w:style w:type="character" w:customStyle="1" w:styleId="45">
    <w:name w:val="font13"/>
    <w:qFormat/>
    <w:uiPriority w:val="0"/>
    <w:rPr>
      <w:rFonts w:hint="eastAsia" w:ascii="宋体" w:hAnsi="宋体" w:eastAsia="宋体" w:cs="宋体"/>
      <w:color w:val="000000"/>
      <w:sz w:val="21"/>
      <w:szCs w:val="21"/>
      <w:u w:val="none"/>
    </w:rPr>
  </w:style>
  <w:style w:type="character" w:customStyle="1" w:styleId="46">
    <w:name w:val="font121"/>
    <w:uiPriority w:val="0"/>
    <w:rPr>
      <w:rFonts w:hint="default" w:ascii="Times New Roman" w:hAnsi="Times New Roman" w:cs="Times New Roman"/>
      <w:b/>
      <w:color w:val="000000"/>
      <w:sz w:val="24"/>
      <w:szCs w:val="24"/>
      <w:u w:val="none"/>
    </w:rPr>
  </w:style>
  <w:style w:type="character" w:customStyle="1" w:styleId="47">
    <w:name w:val="font251"/>
    <w:qFormat/>
    <w:uiPriority w:val="0"/>
    <w:rPr>
      <w:rFonts w:hint="eastAsia" w:ascii="宋体" w:hAnsi="宋体" w:eastAsia="宋体" w:cs="宋体"/>
      <w:b/>
      <w:color w:val="000000"/>
      <w:sz w:val="24"/>
      <w:szCs w:val="24"/>
      <w:u w:val="none"/>
    </w:rPr>
  </w:style>
  <w:style w:type="character" w:customStyle="1" w:styleId="48">
    <w:name w:val="font181"/>
    <w:uiPriority w:val="0"/>
    <w:rPr>
      <w:rFonts w:hint="eastAsia" w:ascii="宋体" w:hAnsi="宋体" w:eastAsia="宋体" w:cs="宋体"/>
      <w:b/>
      <w:color w:val="000000"/>
      <w:sz w:val="21"/>
      <w:szCs w:val="21"/>
      <w:u w:val="none"/>
    </w:rPr>
  </w:style>
  <w:style w:type="character" w:customStyle="1" w:styleId="49">
    <w:name w:val="font241"/>
    <w:qFormat/>
    <w:uiPriority w:val="0"/>
    <w:rPr>
      <w:rFonts w:hint="eastAsia" w:ascii="宋体" w:hAnsi="宋体" w:eastAsia="宋体" w:cs="宋体"/>
      <w:b/>
      <w:color w:val="000000"/>
      <w:sz w:val="32"/>
      <w:szCs w:val="32"/>
      <w:u w:val="none"/>
    </w:rPr>
  </w:style>
  <w:style w:type="character" w:customStyle="1" w:styleId="50">
    <w:name w:val="font141"/>
    <w:qFormat/>
    <w:uiPriority w:val="0"/>
    <w:rPr>
      <w:rFonts w:hint="default" w:ascii="Times New Roman" w:hAnsi="Times New Roman" w:cs="Times New Roman"/>
      <w:b/>
      <w:color w:val="000000"/>
      <w:sz w:val="21"/>
      <w:szCs w:val="21"/>
      <w:u w:val="none"/>
    </w:rPr>
  </w:style>
  <w:style w:type="character" w:customStyle="1" w:styleId="51">
    <w:name w:val="font171"/>
    <w:qFormat/>
    <w:uiPriority w:val="0"/>
    <w:rPr>
      <w:rFonts w:hint="default" w:ascii="Times New Roman" w:hAnsi="Times New Roman" w:cs="Times New Roman"/>
      <w:color w:val="000000"/>
      <w:sz w:val="18"/>
      <w:szCs w:val="18"/>
      <w:u w:val="none"/>
    </w:rPr>
  </w:style>
  <w:style w:type="character" w:customStyle="1" w:styleId="52">
    <w:name w:val="font281"/>
    <w:qFormat/>
    <w:uiPriority w:val="0"/>
    <w:rPr>
      <w:rFonts w:hint="eastAsia" w:ascii="宋体" w:hAnsi="宋体" w:eastAsia="宋体" w:cs="宋体"/>
      <w:color w:val="000000"/>
      <w:sz w:val="18"/>
      <w:szCs w:val="18"/>
      <w:u w:val="none"/>
    </w:rPr>
  </w:style>
  <w:style w:type="character" w:customStyle="1" w:styleId="53">
    <w:name w:val="font01"/>
    <w:uiPriority w:val="0"/>
    <w:rPr>
      <w:rFonts w:hint="eastAsia" w:ascii="宋体" w:hAnsi="宋体" w:eastAsia="宋体" w:cs="宋体"/>
      <w:color w:val="000000"/>
      <w:sz w:val="18"/>
      <w:szCs w:val="18"/>
      <w:u w:val="none"/>
    </w:rPr>
  </w:style>
  <w:style w:type="character" w:customStyle="1" w:styleId="54">
    <w:name w:val="纯文本 Char1"/>
    <w:basedOn w:val="22"/>
    <w:semiHidden/>
    <w:qFormat/>
    <w:uiPriority w:val="99"/>
    <w:rPr>
      <w:rFonts w:ascii="宋体" w:hAnsi="Courier New" w:eastAsia="宋体" w:cs="Courier New"/>
      <w:szCs w:val="21"/>
    </w:rPr>
  </w:style>
  <w:style w:type="character" w:customStyle="1" w:styleId="55">
    <w:name w:val="批注文字 Char1"/>
    <w:basedOn w:val="22"/>
    <w:semiHidden/>
    <w:uiPriority w:val="99"/>
    <w:rPr>
      <w:rFonts w:ascii="Calibri" w:hAnsi="Calibri" w:eastAsia="宋体" w:cs="Times New Roman"/>
      <w:szCs w:val="24"/>
    </w:rPr>
  </w:style>
  <w:style w:type="paragraph" w:customStyle="1" w:styleId="56">
    <w:name w:val="WPSOffice手动目录 1"/>
    <w:qFormat/>
    <w:uiPriority w:val="0"/>
    <w:rPr>
      <w:rFonts w:ascii="Calibri" w:hAnsi="Calibri" w:eastAsia="宋体" w:cs="Times New Roman"/>
      <w:lang w:val="en-US" w:eastAsia="zh-CN" w:bidi="ar-SA"/>
    </w:rPr>
  </w:style>
  <w:style w:type="character" w:customStyle="1" w:styleId="57">
    <w:name w:val="页脚 Char1"/>
    <w:basedOn w:val="22"/>
    <w:semiHidden/>
    <w:qFormat/>
    <w:uiPriority w:val="99"/>
    <w:rPr>
      <w:rFonts w:ascii="Calibri" w:hAnsi="Calibri" w:eastAsia="宋体" w:cs="Times New Roman"/>
      <w:sz w:val="18"/>
      <w:szCs w:val="18"/>
    </w:rPr>
  </w:style>
  <w:style w:type="character" w:customStyle="1" w:styleId="58">
    <w:name w:val="正文文本 3 Char"/>
    <w:basedOn w:val="22"/>
    <w:link w:val="5"/>
    <w:qFormat/>
    <w:uiPriority w:val="0"/>
    <w:rPr>
      <w:rFonts w:ascii="Calibri" w:hAnsi="Calibri" w:eastAsia="宋体" w:cs="Times New Roman"/>
      <w:sz w:val="16"/>
      <w:szCs w:val="16"/>
    </w:rPr>
  </w:style>
  <w:style w:type="paragraph" w:customStyle="1" w:styleId="59">
    <w:name w:val="Char"/>
    <w:basedOn w:val="1"/>
    <w:qFormat/>
    <w:uiPriority w:val="99"/>
  </w:style>
  <w:style w:type="character" w:customStyle="1" w:styleId="60">
    <w:name w:val="页眉 Char1"/>
    <w:basedOn w:val="22"/>
    <w:semiHidden/>
    <w:uiPriority w:val="99"/>
    <w:rPr>
      <w:rFonts w:ascii="Calibri" w:hAnsi="Calibri" w:eastAsia="宋体" w:cs="Times New Roman"/>
      <w:sz w:val="18"/>
      <w:szCs w:val="18"/>
    </w:rPr>
  </w:style>
  <w:style w:type="character" w:customStyle="1" w:styleId="61">
    <w:name w:val="批注框文本 Char1"/>
    <w:basedOn w:val="22"/>
    <w:semiHidden/>
    <w:qFormat/>
    <w:uiPriority w:val="99"/>
    <w:rPr>
      <w:rFonts w:ascii="Calibri" w:hAnsi="Calibri" w:eastAsia="宋体" w:cs="Times New Roman"/>
      <w:sz w:val="18"/>
      <w:szCs w:val="18"/>
    </w:rPr>
  </w:style>
  <w:style w:type="paragraph" w:customStyle="1" w:styleId="62">
    <w:name w:val="Char1"/>
    <w:basedOn w:val="1"/>
    <w:qFormat/>
    <w:uiPriority w:val="0"/>
    <w:pPr>
      <w:widowControl/>
      <w:jc w:val="left"/>
    </w:pPr>
    <w:rPr>
      <w:kern w:val="0"/>
      <w:sz w:val="24"/>
    </w:rPr>
  </w:style>
  <w:style w:type="paragraph" w:customStyle="1" w:styleId="63">
    <w:name w:val="图文"/>
    <w:basedOn w:val="1"/>
    <w:qFormat/>
    <w:uiPriority w:val="0"/>
    <w:pPr>
      <w:widowControl/>
      <w:adjustRightInd w:val="0"/>
      <w:snapToGrid w:val="0"/>
      <w:jc w:val="center"/>
    </w:pPr>
    <w:rPr>
      <w:rFonts w:ascii="Times New Roman" w:hAnsi="Times New Roman"/>
      <w:kern w:val="0"/>
      <w:sz w:val="15"/>
    </w:rPr>
  </w:style>
  <w:style w:type="paragraph" w:customStyle="1" w:styleId="64">
    <w:name w:val="_Style 38"/>
    <w:basedOn w:val="1"/>
    <w:next w:val="65"/>
    <w:qFormat/>
    <w:uiPriority w:val="34"/>
    <w:pPr>
      <w:ind w:firstLine="420" w:firstLineChars="200"/>
    </w:pPr>
    <w:rPr>
      <w:rFonts w:ascii="Times New Roman" w:hAnsi="Times New Roman"/>
    </w:rPr>
  </w:style>
  <w:style w:type="paragraph" w:styleId="65">
    <w:name w:val="List Paragraph"/>
    <w:basedOn w:val="1"/>
    <w:qFormat/>
    <w:uiPriority w:val="99"/>
    <w:pPr>
      <w:ind w:firstLine="420" w:firstLineChars="200"/>
    </w:pPr>
    <w:rPr>
      <w:szCs w:val="22"/>
    </w:rPr>
  </w:style>
  <w:style w:type="paragraph" w:customStyle="1" w:styleId="66">
    <w:name w:val="TOC 标题1"/>
    <w:basedOn w:val="2"/>
    <w:next w:val="1"/>
    <w:qFormat/>
    <w:uiPriority w:val="39"/>
    <w:pPr>
      <w:widowControl/>
      <w:adjustRightInd/>
      <w:snapToGrid/>
      <w:spacing w:before="480" w:beforeLines="0" w:after="0" w:afterLines="0" w:line="276" w:lineRule="auto"/>
      <w:jc w:val="left"/>
      <w:outlineLvl w:val="9"/>
    </w:pPr>
    <w:rPr>
      <w:rFonts w:ascii="Cambria" w:hAnsi="Cambria" w:eastAsia="宋体"/>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2012</Words>
  <Characters>11472</Characters>
  <Lines>95</Lines>
  <Paragraphs>26</Paragraphs>
  <TotalTime>2</TotalTime>
  <ScaleCrop>false</ScaleCrop>
  <LinksUpToDate>false</LinksUpToDate>
  <CharactersWithSpaces>13458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2020-05-08T08:48:00Z</dcterms:created>
  <dc:creator>邸杰</dc:creator>
  <cp:lastModifiedBy>风玲</cp:lastModifiedBy>
  <dcterms:modified xsi:type="dcterms:W3CDTF">2020-06-08T09:22:45Z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