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9" w:rsidRPr="006F4685" w:rsidRDefault="006F4685" w:rsidP="003740FA">
      <w:pPr>
        <w:spacing w:before="120" w:after="240" w:line="50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F468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  <w:r w:rsidR="003740FA" w:rsidRPr="003740F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推荐申报2022年度江苏省高等学校（基础科学）自然科学研究面上项目一览表</w:t>
      </w:r>
    </w:p>
    <w:tbl>
      <w:tblPr>
        <w:tblW w:w="1305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96"/>
        <w:gridCol w:w="1560"/>
        <w:gridCol w:w="1536"/>
        <w:gridCol w:w="1913"/>
      </w:tblGrid>
      <w:tr w:rsidR="003740FA" w:rsidTr="003740FA">
        <w:trPr>
          <w:cantSplit/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基于合成孔径成像的植保无人机喷雾雾滴扩散机理研究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渠向举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1990.12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过冷液滴低速撞击梯度润湿表面动力学-结冰耦合机理研究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</w:t>
            </w:r>
            <w:r w:rsidR="00CC423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1988.01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一类分数阶薛定谔方程渐进周期解的存在性研究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贠</w:t>
            </w:r>
            <w:r>
              <w:rPr>
                <w:rFonts w:eastAsia="仿宋_GB2312" w:hint="eastAsia"/>
                <w:sz w:val="24"/>
              </w:rPr>
              <w:t>永震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1987.06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34B53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g-C3N4</w:t>
            </w:r>
            <w:r>
              <w:rPr>
                <w:rFonts w:eastAsia="仿宋_GB2312" w:hint="eastAsia"/>
                <w:sz w:val="24"/>
              </w:rPr>
              <w:t>同质结的理性设计及其高效光合成</w:t>
            </w:r>
            <w:r>
              <w:rPr>
                <w:rFonts w:eastAsia="仿宋_GB2312" w:hint="eastAsia"/>
                <w:sz w:val="24"/>
              </w:rPr>
              <w:t>H2O2</w:t>
            </w:r>
            <w:r>
              <w:rPr>
                <w:rFonts w:eastAsia="仿宋_GB2312" w:hint="eastAsia"/>
                <w:sz w:val="24"/>
              </w:rPr>
              <w:t>机制研究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刘园</w:t>
            </w:r>
            <w:proofErr w:type="gramStart"/>
            <w:r>
              <w:rPr>
                <w:rFonts w:eastAsia="仿宋_GB2312"/>
                <w:sz w:val="24"/>
              </w:rPr>
              <w:t>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1991.07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两亲性磁</w:t>
            </w:r>
            <w:proofErr w:type="gramEnd"/>
            <w:r>
              <w:rPr>
                <w:rFonts w:eastAsia="仿宋_GB2312"/>
                <w:sz w:val="24"/>
              </w:rPr>
              <w:t>响应吸附剂有机电解可控构建及亲和吸附研究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贾海洋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1987.12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甜菜碱激活</w:t>
            </w:r>
            <w:r>
              <w:rPr>
                <w:rFonts w:eastAsia="仿宋_GB2312" w:hint="eastAsia"/>
                <w:sz w:val="24"/>
              </w:rPr>
              <w:t>AMPK</w:t>
            </w:r>
            <w:r>
              <w:rPr>
                <w:rFonts w:eastAsia="仿宋_GB2312" w:hint="eastAsia"/>
                <w:sz w:val="24"/>
              </w:rPr>
              <w:t>通路拮抗</w:t>
            </w:r>
            <w:proofErr w:type="spellStart"/>
            <w:r>
              <w:rPr>
                <w:rFonts w:eastAsia="仿宋_GB2312" w:hint="eastAsia"/>
                <w:sz w:val="24"/>
              </w:rPr>
              <w:t>E.coli</w:t>
            </w:r>
            <w:proofErr w:type="spellEnd"/>
            <w:r>
              <w:rPr>
                <w:rFonts w:eastAsia="仿宋_GB2312" w:hint="eastAsia"/>
                <w:sz w:val="24"/>
              </w:rPr>
              <w:t>性乳腺炎的机制研究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赵南南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990.07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氨基立体异构</w:t>
            </w:r>
            <w:proofErr w:type="gramStart"/>
            <w:r>
              <w:rPr>
                <w:rFonts w:eastAsia="仿宋_GB2312" w:hint="eastAsia"/>
                <w:sz w:val="24"/>
              </w:rPr>
              <w:t>反转多酶级联</w:t>
            </w:r>
            <w:proofErr w:type="gramEnd"/>
            <w:r>
              <w:rPr>
                <w:rFonts w:eastAsia="仿宋_GB2312" w:hint="eastAsia"/>
                <w:sz w:val="24"/>
              </w:rPr>
              <w:t>催化体系氨基转移机制研究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张丹平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990.06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bookmarkStart w:id="0" w:name="_GoBack" w:colFirst="4" w:colLast="4"/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快冷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快热循环冲击下页岩损伤特征及增透机理研究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苏善杰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992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>
              <w:rPr>
                <w:rFonts w:ascii="仿宋_GB2312" w:eastAsia="仿宋_GB2312" w:hAnsi="宋体"/>
                <w:sz w:val="24"/>
              </w:rPr>
              <w:t>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bookmarkEnd w:id="0"/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硫酸盐环境下大孔隙混凝土腐蚀渗流失稳机理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仇培涛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1989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>
              <w:rPr>
                <w:rFonts w:ascii="仿宋_GB2312" w:eastAsia="仿宋_GB2312" w:hAnsi="宋体"/>
                <w:sz w:val="24"/>
              </w:rPr>
              <w:t>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藻源性</w:t>
            </w:r>
            <w:proofErr w:type="gramEnd"/>
            <w:r>
              <w:rPr>
                <w:rFonts w:eastAsia="仿宋_GB2312" w:hint="eastAsia"/>
                <w:sz w:val="24"/>
              </w:rPr>
              <w:t>有机物对富营养化水体蓝藻生物质磁捕集效果影响及机理研究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杨</w:t>
            </w:r>
            <w:proofErr w:type="gramStart"/>
            <w:r>
              <w:rPr>
                <w:rFonts w:eastAsia="仿宋_GB2312" w:hint="eastAsia"/>
                <w:sz w:val="24"/>
              </w:rPr>
              <w:t>杨</w:t>
            </w:r>
            <w:proofErr w:type="gramEnd"/>
            <w:r>
              <w:rPr>
                <w:rFonts w:eastAsia="仿宋_GB2312" w:hint="eastAsia"/>
                <w:sz w:val="24"/>
              </w:rPr>
              <w:t>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991.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双相离子体系高效构建LCNFs及其表面理化改性机制研究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</w:t>
            </w:r>
            <w:r w:rsidR="00CC423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1990.09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</w:tr>
      <w:tr w:rsidR="003740FA" w:rsidTr="003740FA">
        <w:trPr>
          <w:cantSplit/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3740F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基于随机几何理论的大规模智能可重构表面系统性能</w:t>
            </w:r>
            <w:r>
              <w:rPr>
                <w:rFonts w:eastAsia="仿宋_GB2312" w:hint="eastAsia"/>
                <w:sz w:val="24"/>
              </w:rPr>
              <w:t>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陈常山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1987.03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FA" w:rsidRDefault="003740FA" w:rsidP="0059313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</w:p>
        </w:tc>
      </w:tr>
    </w:tbl>
    <w:p w:rsidR="00801F39" w:rsidRDefault="00801F39" w:rsidP="003740FA">
      <w:pPr>
        <w:spacing w:line="560" w:lineRule="exact"/>
        <w:rPr>
          <w:rFonts w:eastAsia="仿宋_GB2312"/>
          <w:sz w:val="32"/>
          <w:szCs w:val="32"/>
        </w:rPr>
      </w:pPr>
    </w:p>
    <w:sectPr w:rsidR="00801F39">
      <w:footerReference w:type="even" r:id="rId8"/>
      <w:footerReference w:type="default" r:id="rId9"/>
      <w:pgSz w:w="16838" w:h="11906" w:orient="landscape"/>
      <w:pgMar w:top="1276" w:right="1644" w:bottom="709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45" w:rsidRDefault="009D3D45">
      <w:r>
        <w:separator/>
      </w:r>
    </w:p>
  </w:endnote>
  <w:endnote w:type="continuationSeparator" w:id="0">
    <w:p w:rsidR="009D3D45" w:rsidRDefault="009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9" w:rsidRDefault="00A465D3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26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01F39" w:rsidRDefault="00801F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9" w:rsidRDefault="00801F3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45" w:rsidRDefault="009D3D45">
      <w:r>
        <w:separator/>
      </w:r>
    </w:p>
  </w:footnote>
  <w:footnote w:type="continuationSeparator" w:id="0">
    <w:p w:rsidR="009D3D45" w:rsidRDefault="009D3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5DB"/>
    <w:rsid w:val="00046470"/>
    <w:rsid w:val="00097BDC"/>
    <w:rsid w:val="000A0CD1"/>
    <w:rsid w:val="000B4362"/>
    <w:rsid w:val="000C355A"/>
    <w:rsid w:val="00156445"/>
    <w:rsid w:val="0015691E"/>
    <w:rsid w:val="00172EC9"/>
    <w:rsid w:val="00195662"/>
    <w:rsid w:val="001D2493"/>
    <w:rsid w:val="002615DB"/>
    <w:rsid w:val="00294C6C"/>
    <w:rsid w:val="002A118E"/>
    <w:rsid w:val="002A34A3"/>
    <w:rsid w:val="002D3038"/>
    <w:rsid w:val="00334B53"/>
    <w:rsid w:val="003740FA"/>
    <w:rsid w:val="003C13E7"/>
    <w:rsid w:val="004B607B"/>
    <w:rsid w:val="004F2D8D"/>
    <w:rsid w:val="00501DB4"/>
    <w:rsid w:val="00503A14"/>
    <w:rsid w:val="00505D79"/>
    <w:rsid w:val="00582889"/>
    <w:rsid w:val="00621090"/>
    <w:rsid w:val="006F4685"/>
    <w:rsid w:val="006F5D0A"/>
    <w:rsid w:val="007A43D7"/>
    <w:rsid w:val="00801F39"/>
    <w:rsid w:val="0085236B"/>
    <w:rsid w:val="008E508D"/>
    <w:rsid w:val="009263BD"/>
    <w:rsid w:val="009757F5"/>
    <w:rsid w:val="009C1B8F"/>
    <w:rsid w:val="009D3D45"/>
    <w:rsid w:val="00A465D3"/>
    <w:rsid w:val="00B057BB"/>
    <w:rsid w:val="00B148C1"/>
    <w:rsid w:val="00B326E3"/>
    <w:rsid w:val="00CC4230"/>
    <w:rsid w:val="00CF09E2"/>
    <w:rsid w:val="00D112D8"/>
    <w:rsid w:val="00E9683B"/>
    <w:rsid w:val="00EB6AE2"/>
    <w:rsid w:val="00EE1B69"/>
    <w:rsid w:val="00EF5766"/>
    <w:rsid w:val="00F2378C"/>
    <w:rsid w:val="00F62DD7"/>
    <w:rsid w:val="0455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祝恒恒</dc:creator>
  <cp:lastModifiedBy>HP</cp:lastModifiedBy>
  <cp:revision>35</cp:revision>
  <dcterms:created xsi:type="dcterms:W3CDTF">2019-04-11T06:21:00Z</dcterms:created>
  <dcterms:modified xsi:type="dcterms:W3CDTF">2022-03-23T01:07:00Z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685B8AC4282644FDAC4C2A7631A37C88</vt:lpwstr>
  </property>
</Properties>
</file>